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B908D" w14:textId="2A98E128" w:rsidR="00E90E49" w:rsidRPr="00B83705" w:rsidRDefault="00E90E49" w:rsidP="00E35559">
      <w:pPr>
        <w:pStyle w:val="3GPPHeader"/>
        <w:spacing w:after="60"/>
        <w:rPr>
          <w:sz w:val="32"/>
          <w:szCs w:val="32"/>
        </w:rPr>
      </w:pPr>
      <w:r w:rsidRPr="00B83705">
        <w:t>3GPP TSG-RAN WG</w:t>
      </w:r>
      <w:r w:rsidR="007730BD" w:rsidRPr="00B83705">
        <w:t>2</w:t>
      </w:r>
      <w:r w:rsidRPr="00B83705">
        <w:t xml:space="preserve"> #</w:t>
      </w:r>
      <w:r w:rsidR="00AE3743" w:rsidRPr="00B83705">
        <w:t>9</w:t>
      </w:r>
      <w:r w:rsidR="0035491B" w:rsidRPr="00B83705">
        <w:t>9</w:t>
      </w:r>
      <w:r w:rsidR="00873DB0" w:rsidRPr="00B83705">
        <w:t>bis</w:t>
      </w:r>
      <w:r w:rsidRPr="00B83705">
        <w:tab/>
      </w:r>
      <w:r w:rsidRPr="00B83705">
        <w:rPr>
          <w:sz w:val="32"/>
          <w:szCs w:val="32"/>
        </w:rPr>
        <w:t xml:space="preserve">Tdoc </w:t>
      </w:r>
      <w:r w:rsidR="00091557" w:rsidRPr="00B83705">
        <w:rPr>
          <w:sz w:val="32"/>
          <w:szCs w:val="32"/>
        </w:rPr>
        <w:t>R2-</w:t>
      </w:r>
      <w:r w:rsidR="005F3025" w:rsidRPr="00B83705">
        <w:rPr>
          <w:sz w:val="32"/>
          <w:szCs w:val="32"/>
        </w:rPr>
        <w:t>1</w:t>
      </w:r>
      <w:r w:rsidR="000039F4" w:rsidRPr="00B83705">
        <w:rPr>
          <w:sz w:val="32"/>
          <w:szCs w:val="32"/>
        </w:rPr>
        <w:t>7</w:t>
      </w:r>
      <w:r w:rsidR="00B83705" w:rsidRPr="00B83705">
        <w:rPr>
          <w:sz w:val="32"/>
          <w:szCs w:val="32"/>
        </w:rPr>
        <w:t>11177</w:t>
      </w:r>
    </w:p>
    <w:p w14:paraId="68452D8A" w14:textId="44F08A05" w:rsidR="00E90E49" w:rsidRPr="00B83705" w:rsidRDefault="00873DB0" w:rsidP="00311702">
      <w:pPr>
        <w:pStyle w:val="3GPPHeader"/>
      </w:pPr>
      <w:r w:rsidRPr="00B83705">
        <w:t>Prague, Czech Republic, 9</w:t>
      </w:r>
      <w:r w:rsidRPr="00B83705">
        <w:rPr>
          <w:vertAlign w:val="superscript"/>
        </w:rPr>
        <w:t>th</w:t>
      </w:r>
      <w:r w:rsidRPr="00B83705">
        <w:t xml:space="preserve"> – 13</w:t>
      </w:r>
      <w:r w:rsidRPr="00B83705">
        <w:rPr>
          <w:vertAlign w:val="superscript"/>
        </w:rPr>
        <w:t>th</w:t>
      </w:r>
      <w:r w:rsidRPr="00B83705">
        <w:t xml:space="preserve"> October 2017</w:t>
      </w:r>
      <w:r w:rsidR="0067000F" w:rsidRPr="00B83705">
        <w:rPr>
          <w:lang w:val="en-US"/>
        </w:rPr>
        <w:t xml:space="preserve"> </w:t>
      </w:r>
      <w:r w:rsidR="0067000F" w:rsidRPr="00B83705">
        <w:rPr>
          <w:lang w:val="en-US"/>
        </w:rPr>
        <w:tab/>
        <w:t xml:space="preserve">Updated from </w:t>
      </w:r>
      <w:r w:rsidR="0067000F" w:rsidRPr="00B83705">
        <w:rPr>
          <w:szCs w:val="32"/>
          <w:lang w:val="en-US"/>
        </w:rPr>
        <w:t>R2-1708195</w:t>
      </w:r>
    </w:p>
    <w:p w14:paraId="40F0E970" w14:textId="77777777" w:rsidR="00E90E49" w:rsidRPr="00B83705" w:rsidRDefault="00E90E49" w:rsidP="00357380">
      <w:pPr>
        <w:pStyle w:val="3GPPHeader"/>
      </w:pPr>
    </w:p>
    <w:p w14:paraId="75385383" w14:textId="15CD4DAE" w:rsidR="00E90E49" w:rsidRPr="00B83705" w:rsidRDefault="00E90E49" w:rsidP="00311702">
      <w:pPr>
        <w:pStyle w:val="3GPPHeader"/>
        <w:rPr>
          <w:sz w:val="22"/>
          <w:szCs w:val="22"/>
        </w:rPr>
      </w:pPr>
      <w:r w:rsidRPr="00B83705">
        <w:rPr>
          <w:sz w:val="22"/>
          <w:szCs w:val="22"/>
        </w:rPr>
        <w:t>Agenda Item:</w:t>
      </w:r>
      <w:r w:rsidRPr="00B83705">
        <w:rPr>
          <w:sz w:val="22"/>
          <w:szCs w:val="22"/>
        </w:rPr>
        <w:tab/>
      </w:r>
      <w:r w:rsidR="0067000F" w:rsidRPr="00B83705">
        <w:rPr>
          <w:sz w:val="22"/>
          <w:lang w:val="en-US"/>
        </w:rPr>
        <w:t>10.3.1.9</w:t>
      </w:r>
    </w:p>
    <w:p w14:paraId="0CE8C307" w14:textId="77777777" w:rsidR="00E90E49" w:rsidRPr="00B83705" w:rsidRDefault="003D3C45" w:rsidP="00F64C2B">
      <w:pPr>
        <w:pStyle w:val="3GPPHeader"/>
        <w:rPr>
          <w:sz w:val="22"/>
          <w:szCs w:val="22"/>
        </w:rPr>
      </w:pPr>
      <w:r w:rsidRPr="00B83705">
        <w:rPr>
          <w:sz w:val="22"/>
          <w:szCs w:val="22"/>
        </w:rPr>
        <w:t>Source:</w:t>
      </w:r>
      <w:r w:rsidR="00E90E49" w:rsidRPr="00B83705">
        <w:rPr>
          <w:sz w:val="22"/>
          <w:szCs w:val="22"/>
        </w:rPr>
        <w:tab/>
      </w:r>
      <w:r w:rsidR="00F64C2B" w:rsidRPr="00B83705">
        <w:rPr>
          <w:sz w:val="22"/>
          <w:szCs w:val="22"/>
        </w:rPr>
        <w:t>Ericsson</w:t>
      </w:r>
    </w:p>
    <w:p w14:paraId="588E8F86" w14:textId="01F51338" w:rsidR="00E90E49" w:rsidRPr="00B83705" w:rsidRDefault="003D3C45" w:rsidP="00311702">
      <w:pPr>
        <w:pStyle w:val="3GPPHeader"/>
        <w:rPr>
          <w:sz w:val="22"/>
          <w:szCs w:val="22"/>
        </w:rPr>
      </w:pPr>
      <w:r w:rsidRPr="00B83705">
        <w:rPr>
          <w:sz w:val="22"/>
          <w:szCs w:val="22"/>
        </w:rPr>
        <w:t>Title:</w:t>
      </w:r>
      <w:r w:rsidR="00E90E49" w:rsidRPr="00B83705">
        <w:rPr>
          <w:sz w:val="22"/>
          <w:szCs w:val="22"/>
        </w:rPr>
        <w:tab/>
      </w:r>
      <w:r w:rsidR="0067000F" w:rsidRPr="00B83705">
        <w:rPr>
          <w:sz w:val="22"/>
          <w:szCs w:val="22"/>
        </w:rPr>
        <w:t>HARQ Configurations in NR</w:t>
      </w:r>
    </w:p>
    <w:p w14:paraId="7024F96B" w14:textId="744E21C4" w:rsidR="00E90E49" w:rsidRDefault="00E90E49" w:rsidP="00D546FF">
      <w:pPr>
        <w:pStyle w:val="3GPPHeader"/>
        <w:rPr>
          <w:sz w:val="22"/>
          <w:szCs w:val="22"/>
        </w:rPr>
      </w:pPr>
      <w:r w:rsidRPr="00B83705">
        <w:rPr>
          <w:sz w:val="22"/>
          <w:szCs w:val="22"/>
        </w:rPr>
        <w:t>Document for:</w:t>
      </w:r>
      <w:r w:rsidRPr="00B83705">
        <w:rPr>
          <w:sz w:val="22"/>
          <w:szCs w:val="22"/>
        </w:rPr>
        <w:tab/>
        <w:t>Discussion, Decision</w:t>
      </w:r>
    </w:p>
    <w:p w14:paraId="74723FB4" w14:textId="77777777" w:rsidR="00B83705" w:rsidRPr="00B83705" w:rsidRDefault="00B83705" w:rsidP="00D546FF">
      <w:pPr>
        <w:pStyle w:val="3GPPHeader"/>
        <w:rPr>
          <w:sz w:val="22"/>
          <w:szCs w:val="22"/>
        </w:rPr>
      </w:pPr>
    </w:p>
    <w:p w14:paraId="223E66E0" w14:textId="77777777" w:rsidR="00C24345" w:rsidRDefault="00E90E49" w:rsidP="00A2052C">
      <w:pPr>
        <w:pStyle w:val="Heading1"/>
      </w:pPr>
      <w:r w:rsidRPr="00CE0424">
        <w:t>Introduction</w:t>
      </w:r>
    </w:p>
    <w:p w14:paraId="64035FCB" w14:textId="5442FB7C" w:rsidR="00684805" w:rsidRPr="00116AD0" w:rsidRDefault="00684805" w:rsidP="00684805">
      <w:pPr>
        <w:pStyle w:val="BodyText"/>
        <w:rPr>
          <w:lang w:val="en-US"/>
        </w:rPr>
      </w:pPr>
      <w:r w:rsidRPr="00116AD0">
        <w:rPr>
          <w:lang w:val="en-US"/>
        </w:rPr>
        <w:t>In NR, one common network should be able to serve multiple services of deviated QoS requirements and HARQ configuration shall be considered to fulfil different delay requirements. This paper discusses the RRC signaling to configure the HARQ delay parameters.</w:t>
      </w:r>
    </w:p>
    <w:p w14:paraId="707EE0DC" w14:textId="77777777" w:rsidR="00684805" w:rsidRPr="00116AD0" w:rsidRDefault="00684805" w:rsidP="00684805">
      <w:pPr>
        <w:pStyle w:val="BodyText"/>
        <w:rPr>
          <w:lang w:val="en-US"/>
        </w:rPr>
      </w:pPr>
      <w:r w:rsidRPr="00116AD0">
        <w:rPr>
          <w:lang w:val="en-US"/>
        </w:rPr>
        <w:t xml:space="preserve">In RAN1, there is still ongoing discussions regarding the relevant delay parameters for HARQ operation (exemplified in </w:t>
      </w:r>
      <w:r w:rsidRPr="00116AD0">
        <w:rPr>
          <w:lang w:val="en-US"/>
        </w:rPr>
        <w:fldChar w:fldCharType="begin"/>
      </w:r>
      <w:r w:rsidRPr="00116AD0">
        <w:rPr>
          <w:lang w:val="en-US"/>
        </w:rPr>
        <w:instrText xml:space="preserve"> REF _Ref481488690 \h  \* MERGEFORMAT </w:instrText>
      </w:r>
      <w:r w:rsidRPr="00116AD0">
        <w:rPr>
          <w:lang w:val="en-US"/>
        </w:rPr>
      </w:r>
      <w:r w:rsidRPr="00116AD0">
        <w:rPr>
          <w:lang w:val="en-US"/>
        </w:rPr>
        <w:fldChar w:fldCharType="separate"/>
      </w:r>
      <w:r w:rsidRPr="00116AD0">
        <w:rPr>
          <w:lang w:val="en-US"/>
        </w:rPr>
        <w:t>Figure 1</w:t>
      </w:r>
      <w:r w:rsidRPr="00116AD0">
        <w:rPr>
          <w:lang w:val="en-US"/>
        </w:rPr>
        <w:fldChar w:fldCharType="end"/>
      </w:r>
      <w:r w:rsidRPr="00116AD0">
        <w:rPr>
          <w:lang w:val="en-US"/>
        </w:rPr>
        <w:t>). For instance,</w:t>
      </w:r>
    </w:p>
    <w:p w14:paraId="4E854A43" w14:textId="77777777" w:rsidR="00684805" w:rsidRPr="00116AD0" w:rsidRDefault="00684805" w:rsidP="00684805">
      <w:pPr>
        <w:pStyle w:val="ListParagraph1"/>
        <w:numPr>
          <w:ilvl w:val="0"/>
          <w:numId w:val="18"/>
        </w:numPr>
        <w:spacing w:after="120"/>
        <w:rPr>
          <w:rFonts w:ascii="Arial" w:hAnsi="Arial"/>
          <w:szCs w:val="20"/>
          <w:lang w:val="en-US"/>
        </w:rPr>
      </w:pPr>
      <w:r w:rsidRPr="00116AD0">
        <w:rPr>
          <w:rFonts w:ascii="Arial" w:hAnsi="Arial"/>
          <w:szCs w:val="20"/>
          <w:lang w:val="en-US"/>
        </w:rPr>
        <w:t>K0: Delay between DL grant and corresponding DL data (PDSCH) reception</w:t>
      </w:r>
    </w:p>
    <w:p w14:paraId="6A7ECD5F" w14:textId="77777777" w:rsidR="00684805" w:rsidRPr="00116AD0" w:rsidRDefault="00684805" w:rsidP="00684805">
      <w:pPr>
        <w:pStyle w:val="ListParagraph1"/>
        <w:numPr>
          <w:ilvl w:val="0"/>
          <w:numId w:val="18"/>
        </w:numPr>
        <w:spacing w:after="120"/>
        <w:rPr>
          <w:rFonts w:ascii="Arial" w:hAnsi="Arial"/>
          <w:szCs w:val="20"/>
          <w:lang w:val="en-US"/>
        </w:rPr>
      </w:pPr>
      <w:r w:rsidRPr="00116AD0">
        <w:rPr>
          <w:rFonts w:ascii="Arial" w:hAnsi="Arial"/>
          <w:szCs w:val="20"/>
          <w:lang w:val="en-US"/>
        </w:rPr>
        <w:t>K1: Delay between DL data (PDSCH) reception and corresponding acknowledgement transmission on UL</w:t>
      </w:r>
    </w:p>
    <w:p w14:paraId="1D9997F8" w14:textId="77777777" w:rsidR="00684805" w:rsidRPr="00116AD0" w:rsidRDefault="00684805" w:rsidP="00684805">
      <w:pPr>
        <w:pStyle w:val="ListParagraph1"/>
        <w:numPr>
          <w:ilvl w:val="0"/>
          <w:numId w:val="18"/>
        </w:numPr>
        <w:spacing w:after="120"/>
        <w:rPr>
          <w:rFonts w:ascii="Arial" w:hAnsi="Arial"/>
          <w:lang w:val="en-US"/>
        </w:rPr>
      </w:pPr>
      <w:r w:rsidRPr="00116AD0">
        <w:rPr>
          <w:rFonts w:ascii="Arial" w:hAnsi="Arial"/>
          <w:szCs w:val="20"/>
          <w:lang w:val="en-US"/>
        </w:rPr>
        <w:t>K2: Delay between UL grant reception in DL and UL data (PUSCH) transmission</w:t>
      </w:r>
    </w:p>
    <w:p w14:paraId="2867D27F" w14:textId="77777777" w:rsidR="00684805" w:rsidRPr="00116AD0" w:rsidRDefault="00684805" w:rsidP="00684805">
      <w:pPr>
        <w:pStyle w:val="ListParagraph1"/>
        <w:numPr>
          <w:ilvl w:val="0"/>
          <w:numId w:val="18"/>
        </w:numPr>
        <w:spacing w:after="120"/>
        <w:rPr>
          <w:rFonts w:ascii="Arial" w:hAnsi="Arial"/>
          <w:lang w:val="en-US"/>
        </w:rPr>
      </w:pPr>
      <w:r w:rsidRPr="00116AD0">
        <w:rPr>
          <w:rFonts w:ascii="Arial" w:hAnsi="Arial"/>
          <w:szCs w:val="20"/>
          <w:lang w:val="en-US"/>
        </w:rPr>
        <w:t>K3: Delay between ACK/NAK reception in UL and corresponding retransmission of data (PDSCH) on DL</w:t>
      </w:r>
    </w:p>
    <w:p w14:paraId="32031DF7" w14:textId="2BC03F80" w:rsidR="00684805" w:rsidRPr="00116AD0" w:rsidRDefault="00684805" w:rsidP="00684805">
      <w:pPr>
        <w:pStyle w:val="Figure"/>
        <w:rPr>
          <w:lang w:val="en-US"/>
        </w:rPr>
      </w:pPr>
      <w:r w:rsidRPr="00116AD0">
        <w:rPr>
          <w:noProof/>
          <w:lang w:val="en-US"/>
        </w:rPr>
        <w:drawing>
          <wp:inline distT="0" distB="0" distL="0" distR="0" wp14:anchorId="2759FC6F" wp14:editId="4236041E">
            <wp:extent cx="4831311" cy="10423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5313" cy="1045393"/>
                    </a:xfrm>
                    <a:prstGeom prst="rect">
                      <a:avLst/>
                    </a:prstGeom>
                    <a:noFill/>
                  </pic:spPr>
                </pic:pic>
              </a:graphicData>
            </a:graphic>
          </wp:inline>
        </w:drawing>
      </w:r>
    </w:p>
    <w:p w14:paraId="3CA15FAD" w14:textId="77777777" w:rsidR="00684805" w:rsidRPr="00116AD0" w:rsidRDefault="00684805" w:rsidP="00684805">
      <w:pPr>
        <w:pStyle w:val="Caption"/>
        <w:rPr>
          <w:lang w:val="en-US"/>
        </w:rPr>
      </w:pPr>
      <w:bookmarkStart w:id="0" w:name="_Ref481488690"/>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Pr="00116AD0">
        <w:rPr>
          <w:noProof/>
          <w:lang w:val="en-US"/>
        </w:rPr>
        <w:t>1</w:t>
      </w:r>
      <w:r w:rsidRPr="00116AD0">
        <w:rPr>
          <w:lang w:val="en-US"/>
        </w:rPr>
        <w:fldChar w:fldCharType="end"/>
      </w:r>
      <w:bookmarkEnd w:id="0"/>
      <w:r w:rsidRPr="00116AD0">
        <w:rPr>
          <w:lang w:val="en-US"/>
        </w:rPr>
        <w:t xml:space="preserve"> Illustration of HARQ delay parameters</w:t>
      </w:r>
    </w:p>
    <w:p w14:paraId="15E04C9D" w14:textId="77777777" w:rsidR="00684805" w:rsidRPr="00116AD0" w:rsidRDefault="00684805" w:rsidP="00684805">
      <w:pPr>
        <w:pStyle w:val="BodyText"/>
        <w:rPr>
          <w:lang w:val="en-US"/>
        </w:rPr>
      </w:pPr>
      <w:r w:rsidRPr="00116AD0">
        <w:rPr>
          <w:lang w:val="en-US"/>
        </w:rPr>
        <w:t>The related RAN1 and RAN2 agreements are listed below.</w:t>
      </w:r>
    </w:p>
    <w:p w14:paraId="58E7D190" w14:textId="77777777" w:rsidR="00684805" w:rsidRPr="00116AD0" w:rsidRDefault="00684805" w:rsidP="00684805">
      <w:pPr>
        <w:pStyle w:val="BodyText"/>
        <w:rPr>
          <w:lang w:val="en-US"/>
        </w:rPr>
      </w:pPr>
      <w:r w:rsidRPr="00116AD0">
        <w:rPr>
          <w:lang w:val="en-US"/>
        </w:rPr>
        <w:t>In RAN1-86bis</w:t>
      </w:r>
      <w:r w:rsidRPr="00116AD0">
        <w:rPr>
          <w:lang w:val="en-US"/>
        </w:rPr>
        <w:fldChar w:fldCharType="begin"/>
      </w:r>
      <w:r w:rsidRPr="00116AD0">
        <w:rPr>
          <w:lang w:val="en-US"/>
        </w:rPr>
        <w:instrText xml:space="preserve"> REF _Ref484591590 \r \h </w:instrText>
      </w:r>
      <w:r w:rsidRPr="00116AD0">
        <w:rPr>
          <w:lang w:val="en-US"/>
        </w:rPr>
      </w:r>
      <w:r w:rsidRPr="00116AD0">
        <w:rPr>
          <w:lang w:val="en-US"/>
        </w:rPr>
        <w:fldChar w:fldCharType="separate"/>
      </w:r>
      <w:r w:rsidRPr="00116AD0">
        <w:rPr>
          <w:lang w:val="en-US"/>
        </w:rPr>
        <w:t>[1]</w:t>
      </w:r>
      <w:r w:rsidRPr="00116AD0">
        <w:rPr>
          <w:lang w:val="en-US"/>
        </w:rPr>
        <w:fldChar w:fldCharType="end"/>
      </w:r>
      <w:r w:rsidRPr="00116AD0">
        <w:rPr>
          <w:lang w:val="en-US"/>
        </w:rPr>
        <w:t>, there are the following agreements:</w:t>
      </w:r>
    </w:p>
    <w:tbl>
      <w:tblPr>
        <w:tblStyle w:val="TableGrid"/>
        <w:tblW w:w="8925" w:type="dxa"/>
        <w:tblInd w:w="1150" w:type="dxa"/>
        <w:tblLook w:val="04A0" w:firstRow="1" w:lastRow="0" w:firstColumn="1" w:lastColumn="0" w:noHBand="0" w:noVBand="1"/>
      </w:tblPr>
      <w:tblGrid>
        <w:gridCol w:w="8925"/>
      </w:tblGrid>
      <w:tr w:rsidR="00684805" w:rsidRPr="00F95AC1" w14:paraId="35296B59" w14:textId="77777777" w:rsidTr="00434A6B">
        <w:tc>
          <w:tcPr>
            <w:tcW w:w="8925" w:type="dxa"/>
          </w:tcPr>
          <w:p w14:paraId="505F79CC" w14:textId="77777777" w:rsidR="00684805" w:rsidRPr="00116AD0" w:rsidRDefault="00684805" w:rsidP="00684805">
            <w:pPr>
              <w:pStyle w:val="BodyText"/>
              <w:numPr>
                <w:ilvl w:val="0"/>
                <w:numId w:val="16"/>
              </w:numPr>
              <w:overflowPunct/>
              <w:autoSpaceDE/>
              <w:autoSpaceDN/>
              <w:adjustRightInd/>
              <w:spacing w:after="160"/>
              <w:jc w:val="left"/>
              <w:textAlignment w:val="auto"/>
              <w:rPr>
                <w:lang w:val="en-US"/>
              </w:rPr>
            </w:pPr>
            <w:r w:rsidRPr="00116AD0">
              <w:rPr>
                <w:lang w:val="en-US"/>
              </w:rPr>
              <w:t>Timing relationship between UL assignment and corresponding UL data transmission can be (one or more of, FFS which ones)</w:t>
            </w:r>
          </w:p>
          <w:p w14:paraId="79D063F1" w14:textId="77777777" w:rsidR="00684805" w:rsidRPr="00116AD0" w:rsidRDefault="00684805" w:rsidP="00684805">
            <w:pPr>
              <w:pStyle w:val="BodyText"/>
              <w:numPr>
                <w:ilvl w:val="1"/>
                <w:numId w:val="17"/>
              </w:numPr>
              <w:overflowPunct/>
              <w:autoSpaceDE/>
              <w:autoSpaceDN/>
              <w:adjustRightInd/>
              <w:spacing w:after="160"/>
              <w:jc w:val="left"/>
              <w:textAlignment w:val="auto"/>
              <w:rPr>
                <w:lang w:val="en-US"/>
              </w:rPr>
            </w:pPr>
            <w:r w:rsidRPr="00116AD0">
              <w:rPr>
                <w:lang w:val="en-US"/>
              </w:rPr>
              <w:t>dynamically indicated by L1 signaling (e.g., DCI)</w:t>
            </w:r>
          </w:p>
          <w:p w14:paraId="4A9716C7" w14:textId="77777777" w:rsidR="00684805" w:rsidRPr="00116AD0" w:rsidRDefault="00684805" w:rsidP="00684805">
            <w:pPr>
              <w:pStyle w:val="BodyText"/>
              <w:numPr>
                <w:ilvl w:val="1"/>
                <w:numId w:val="17"/>
              </w:numPr>
              <w:overflowPunct/>
              <w:autoSpaceDE/>
              <w:autoSpaceDN/>
              <w:adjustRightInd/>
              <w:spacing w:after="160"/>
              <w:jc w:val="left"/>
              <w:textAlignment w:val="auto"/>
              <w:rPr>
                <w:lang w:val="en-US"/>
              </w:rPr>
            </w:pPr>
            <w:r w:rsidRPr="00116AD0">
              <w:rPr>
                <w:lang w:val="en-US"/>
              </w:rPr>
              <w:t>semi-statically indicated to a UE via higher layer</w:t>
            </w:r>
          </w:p>
          <w:p w14:paraId="21519E72" w14:textId="77777777" w:rsidR="00684805" w:rsidRPr="00116AD0" w:rsidRDefault="00684805" w:rsidP="00684805">
            <w:pPr>
              <w:pStyle w:val="BodyText"/>
              <w:numPr>
                <w:ilvl w:val="1"/>
                <w:numId w:val="17"/>
              </w:numPr>
              <w:overflowPunct/>
              <w:autoSpaceDE/>
              <w:autoSpaceDN/>
              <w:adjustRightInd/>
              <w:spacing w:after="160"/>
              <w:jc w:val="left"/>
              <w:textAlignment w:val="auto"/>
              <w:rPr>
                <w:b/>
                <w:lang w:val="en-US"/>
              </w:rPr>
            </w:pPr>
            <w:r w:rsidRPr="00116AD0">
              <w:rPr>
                <w:lang w:val="en-US"/>
              </w:rPr>
              <w:t>a combination of indication by higher layers and dynamic L1 signaling (e.g., DCI)</w:t>
            </w:r>
          </w:p>
          <w:p w14:paraId="53384033" w14:textId="77777777" w:rsidR="00684805" w:rsidRPr="00116AD0" w:rsidRDefault="00684805" w:rsidP="00684805">
            <w:pPr>
              <w:pStyle w:val="BodyText"/>
              <w:numPr>
                <w:ilvl w:val="0"/>
                <w:numId w:val="16"/>
              </w:numPr>
              <w:overflowPunct/>
              <w:autoSpaceDE/>
              <w:autoSpaceDN/>
              <w:adjustRightInd/>
              <w:spacing w:after="160"/>
              <w:jc w:val="left"/>
              <w:textAlignment w:val="auto"/>
              <w:rPr>
                <w:lang w:val="en-US"/>
              </w:rPr>
            </w:pPr>
            <w:r w:rsidRPr="00116AD0">
              <w:rPr>
                <w:lang w:val="en-US"/>
              </w:rPr>
              <w:t>For slot-based scheduling, NR specification should support the following</w:t>
            </w:r>
          </w:p>
          <w:p w14:paraId="3003B4A1" w14:textId="77777777" w:rsidR="00684805" w:rsidRPr="00116AD0" w:rsidRDefault="00684805" w:rsidP="00684805">
            <w:pPr>
              <w:pStyle w:val="BodyText"/>
              <w:numPr>
                <w:ilvl w:val="1"/>
                <w:numId w:val="17"/>
              </w:numPr>
              <w:overflowPunct/>
              <w:autoSpaceDE/>
              <w:autoSpaceDN/>
              <w:adjustRightInd/>
              <w:spacing w:after="160"/>
              <w:jc w:val="left"/>
              <w:textAlignment w:val="auto"/>
              <w:rPr>
                <w:lang w:val="en-US"/>
              </w:rPr>
            </w:pPr>
            <w:r w:rsidRPr="00116AD0">
              <w:rPr>
                <w:lang w:val="en-US"/>
              </w:rPr>
              <w:t>DL data reception in slot N and corresponding acknowledgment in slot N+K1</w:t>
            </w:r>
          </w:p>
          <w:p w14:paraId="19353EA3" w14:textId="77777777" w:rsidR="00684805" w:rsidRPr="00116AD0" w:rsidRDefault="00684805" w:rsidP="00684805">
            <w:pPr>
              <w:pStyle w:val="BodyText"/>
              <w:numPr>
                <w:ilvl w:val="2"/>
                <w:numId w:val="17"/>
              </w:numPr>
              <w:overflowPunct/>
              <w:autoSpaceDE/>
              <w:autoSpaceDN/>
              <w:adjustRightInd/>
              <w:spacing w:after="160"/>
              <w:jc w:val="left"/>
              <w:textAlignment w:val="auto"/>
              <w:rPr>
                <w:lang w:val="en-US"/>
              </w:rPr>
            </w:pPr>
            <w:r w:rsidRPr="00116AD0">
              <w:rPr>
                <w:lang w:val="en-US"/>
              </w:rPr>
              <w:lastRenderedPageBreak/>
              <w:t>All UEs should support K1≥1 with exact values for K1 FFS</w:t>
            </w:r>
          </w:p>
          <w:p w14:paraId="2AB0A4E5" w14:textId="77777777" w:rsidR="00684805" w:rsidRPr="00116AD0" w:rsidRDefault="00684805" w:rsidP="00684805">
            <w:pPr>
              <w:pStyle w:val="BodyText"/>
              <w:numPr>
                <w:ilvl w:val="2"/>
                <w:numId w:val="17"/>
              </w:numPr>
              <w:overflowPunct/>
              <w:autoSpaceDE/>
              <w:autoSpaceDN/>
              <w:adjustRightInd/>
              <w:spacing w:after="160"/>
              <w:jc w:val="left"/>
              <w:textAlignment w:val="auto"/>
              <w:rPr>
                <w:lang w:val="en-US"/>
              </w:rPr>
            </w:pPr>
            <w:r w:rsidRPr="00116AD0">
              <w:rPr>
                <w:lang w:val="en-US"/>
              </w:rPr>
              <w:t>Some UEs may support K1=0 (FFS conditions)</w:t>
            </w:r>
          </w:p>
          <w:p w14:paraId="55B2A913" w14:textId="77777777" w:rsidR="00684805" w:rsidRPr="00116AD0" w:rsidRDefault="00684805" w:rsidP="00684805">
            <w:pPr>
              <w:pStyle w:val="BodyText"/>
              <w:numPr>
                <w:ilvl w:val="1"/>
                <w:numId w:val="17"/>
              </w:numPr>
              <w:overflowPunct/>
              <w:autoSpaceDE/>
              <w:autoSpaceDN/>
              <w:adjustRightInd/>
              <w:spacing w:after="160"/>
              <w:jc w:val="left"/>
              <w:textAlignment w:val="auto"/>
              <w:rPr>
                <w:lang w:val="en-US"/>
              </w:rPr>
            </w:pPr>
            <w:r w:rsidRPr="00116AD0">
              <w:rPr>
                <w:lang w:val="en-US"/>
              </w:rPr>
              <w:t>UL assignment in slot N and corresponding uplink data transmission in slot N+K2</w:t>
            </w:r>
          </w:p>
          <w:p w14:paraId="420D2D79" w14:textId="77777777" w:rsidR="00684805" w:rsidRPr="00116AD0" w:rsidRDefault="00684805" w:rsidP="00684805">
            <w:pPr>
              <w:pStyle w:val="BodyText"/>
              <w:numPr>
                <w:ilvl w:val="2"/>
                <w:numId w:val="17"/>
              </w:numPr>
              <w:overflowPunct/>
              <w:autoSpaceDE/>
              <w:autoSpaceDN/>
              <w:adjustRightInd/>
              <w:spacing w:after="160"/>
              <w:jc w:val="left"/>
              <w:textAlignment w:val="auto"/>
              <w:rPr>
                <w:lang w:val="en-US"/>
              </w:rPr>
            </w:pPr>
            <w:r w:rsidRPr="00116AD0">
              <w:rPr>
                <w:lang w:val="en-US"/>
              </w:rPr>
              <w:t>All UEs should support K2≥1 with exact values for K2 FFS</w:t>
            </w:r>
          </w:p>
          <w:p w14:paraId="0E964032" w14:textId="77777777" w:rsidR="00684805" w:rsidRPr="00116AD0" w:rsidRDefault="00684805" w:rsidP="00684805">
            <w:pPr>
              <w:pStyle w:val="BodyText"/>
              <w:numPr>
                <w:ilvl w:val="2"/>
                <w:numId w:val="17"/>
              </w:numPr>
              <w:overflowPunct/>
              <w:autoSpaceDE/>
              <w:autoSpaceDN/>
              <w:adjustRightInd/>
              <w:spacing w:after="160"/>
              <w:jc w:val="left"/>
              <w:textAlignment w:val="auto"/>
              <w:rPr>
                <w:lang w:val="en-US"/>
              </w:rPr>
            </w:pPr>
            <w:r w:rsidRPr="00116AD0">
              <w:rPr>
                <w:lang w:val="en-US"/>
              </w:rPr>
              <w:t>Some UEs may support K2=0 (FFS conditions)</w:t>
            </w:r>
          </w:p>
        </w:tc>
      </w:tr>
    </w:tbl>
    <w:p w14:paraId="1107FD1E" w14:textId="77777777" w:rsidR="00684805" w:rsidRPr="00116AD0" w:rsidRDefault="00684805" w:rsidP="00684805">
      <w:pPr>
        <w:pStyle w:val="BodyText"/>
        <w:rPr>
          <w:lang w:val="en-US"/>
        </w:rPr>
      </w:pPr>
    </w:p>
    <w:p w14:paraId="7A861BD2" w14:textId="77777777" w:rsidR="00684805" w:rsidRPr="008B3385" w:rsidRDefault="00684805" w:rsidP="008B3385">
      <w:pPr>
        <w:pStyle w:val="Observation"/>
      </w:pPr>
      <w:bookmarkStart w:id="1" w:name="_Toc490228483"/>
      <w:bookmarkStart w:id="2" w:name="_Toc492469953"/>
      <w:bookmarkStart w:id="3" w:name="_Toc492470000"/>
      <w:bookmarkStart w:id="4" w:name="_Toc494358813"/>
      <w:bookmarkStart w:id="5" w:name="_Toc494411346"/>
      <w:r w:rsidRPr="008B3385">
        <w:t>Dynamic HARQ timing is allowed in NR.</w:t>
      </w:r>
      <w:bookmarkEnd w:id="1"/>
      <w:bookmarkEnd w:id="2"/>
      <w:bookmarkEnd w:id="3"/>
      <w:bookmarkEnd w:id="4"/>
      <w:bookmarkEnd w:id="5"/>
    </w:p>
    <w:p w14:paraId="05E642C6" w14:textId="77777777" w:rsidR="00684805" w:rsidRPr="008B3385" w:rsidRDefault="00684805" w:rsidP="008B3385">
      <w:pPr>
        <w:pStyle w:val="Observation"/>
      </w:pPr>
      <w:bookmarkStart w:id="6" w:name="_Toc490228484"/>
      <w:bookmarkStart w:id="7" w:name="_Toc492469954"/>
      <w:bookmarkStart w:id="8" w:name="_Toc492470001"/>
      <w:bookmarkStart w:id="9" w:name="_Toc494358814"/>
      <w:bookmarkStart w:id="10" w:name="_Toc494411347"/>
      <w:r w:rsidRPr="008B3385">
        <w:t>Different UEs may have different processing delay capability in NR.</w:t>
      </w:r>
      <w:bookmarkEnd w:id="6"/>
      <w:bookmarkEnd w:id="7"/>
      <w:bookmarkEnd w:id="8"/>
      <w:bookmarkEnd w:id="9"/>
      <w:bookmarkEnd w:id="10"/>
    </w:p>
    <w:p w14:paraId="6D9C6697" w14:textId="77777777" w:rsidR="00684805" w:rsidRPr="00116AD0" w:rsidRDefault="00684805" w:rsidP="00684805">
      <w:pPr>
        <w:pStyle w:val="BodyText"/>
        <w:rPr>
          <w:lang w:val="en-US"/>
        </w:rPr>
      </w:pPr>
      <w:bookmarkStart w:id="11" w:name="_Hlk494283487"/>
      <w:r w:rsidRPr="00116AD0">
        <w:rPr>
          <w:lang w:val="en-US"/>
        </w:rPr>
        <w:t>In RAN1-87</w:t>
      </w:r>
      <w:r w:rsidRPr="00116AD0">
        <w:rPr>
          <w:lang w:val="en-US"/>
        </w:rPr>
        <w:fldChar w:fldCharType="begin"/>
      </w:r>
      <w:r w:rsidRPr="00116AD0">
        <w:rPr>
          <w:lang w:val="en-US"/>
        </w:rPr>
        <w:instrText xml:space="preserve"> REF _Ref484417603 \r \h </w:instrText>
      </w:r>
      <w:r w:rsidRPr="00116AD0">
        <w:rPr>
          <w:lang w:val="en-US"/>
        </w:rPr>
      </w:r>
      <w:r w:rsidRPr="00116AD0">
        <w:rPr>
          <w:lang w:val="en-US"/>
        </w:rPr>
        <w:fldChar w:fldCharType="separate"/>
      </w:r>
      <w:r w:rsidRPr="00116AD0">
        <w:rPr>
          <w:lang w:val="en-US"/>
        </w:rPr>
        <w:t>[2]</w:t>
      </w:r>
      <w:r w:rsidRPr="00116AD0">
        <w:rPr>
          <w:lang w:val="en-US"/>
        </w:rPr>
        <w:fldChar w:fldCharType="end"/>
      </w:r>
      <w:r w:rsidRPr="00116AD0">
        <w:rPr>
          <w:lang w:val="en-US"/>
        </w:rPr>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684805" w:rsidRPr="00F95AC1" w14:paraId="6099546F" w14:textId="77777777" w:rsidTr="00434A6B">
        <w:tc>
          <w:tcPr>
            <w:tcW w:w="8947" w:type="dxa"/>
          </w:tcPr>
          <w:p w14:paraId="2418A5B2" w14:textId="77777777" w:rsidR="00684805" w:rsidRPr="00116AD0" w:rsidRDefault="00684805" w:rsidP="00684805">
            <w:pPr>
              <w:pStyle w:val="BodyText"/>
              <w:numPr>
                <w:ilvl w:val="0"/>
                <w:numId w:val="16"/>
              </w:numPr>
              <w:overflowPunct/>
              <w:autoSpaceDE/>
              <w:autoSpaceDN/>
              <w:adjustRightInd/>
              <w:spacing w:after="160"/>
              <w:jc w:val="left"/>
              <w:textAlignment w:val="auto"/>
              <w:rPr>
                <w:lang w:val="en-US"/>
              </w:rPr>
            </w:pPr>
            <w:r w:rsidRPr="00116AD0">
              <w:rPr>
                <w:lang w:val="en-US"/>
              </w:rPr>
              <w:t>It should be possible to dynamically indicate (at least in combination with RRC) the timing between data reception and hybrid-ARQ acknowledgement transmission as part of the DCI</w:t>
            </w:r>
          </w:p>
        </w:tc>
      </w:tr>
      <w:bookmarkEnd w:id="11"/>
    </w:tbl>
    <w:p w14:paraId="75491E0F" w14:textId="77777777" w:rsidR="00684805" w:rsidRPr="00116AD0" w:rsidRDefault="00684805" w:rsidP="00684805">
      <w:pPr>
        <w:rPr>
          <w:lang w:val="en-US"/>
        </w:rPr>
      </w:pPr>
    </w:p>
    <w:p w14:paraId="11130955" w14:textId="77777777" w:rsidR="00684805" w:rsidRPr="00116AD0" w:rsidRDefault="00684805" w:rsidP="00684805">
      <w:pPr>
        <w:rPr>
          <w:lang w:val="en-US"/>
        </w:rPr>
      </w:pPr>
      <w:bookmarkStart w:id="12" w:name="_Hlk494283633"/>
      <w:r w:rsidRPr="00116AD0">
        <w:rPr>
          <w:lang w:val="en-US"/>
        </w:rPr>
        <w:t>In RAN1-89</w:t>
      </w:r>
      <w:r w:rsidRPr="00116AD0">
        <w:rPr>
          <w:lang w:val="en-US"/>
        </w:rPr>
        <w:fldChar w:fldCharType="begin"/>
      </w:r>
      <w:r w:rsidRPr="00116AD0">
        <w:rPr>
          <w:lang w:val="en-US"/>
        </w:rPr>
        <w:instrText xml:space="preserve"> REF _Ref484417608 \r \h </w:instrText>
      </w:r>
      <w:r w:rsidRPr="00116AD0">
        <w:rPr>
          <w:lang w:val="en-US"/>
        </w:rPr>
      </w:r>
      <w:r w:rsidRPr="00116AD0">
        <w:rPr>
          <w:lang w:val="en-US"/>
        </w:rPr>
        <w:fldChar w:fldCharType="separate"/>
      </w:r>
      <w:r w:rsidRPr="00116AD0">
        <w:rPr>
          <w:lang w:val="en-US"/>
        </w:rPr>
        <w:t>[3]</w:t>
      </w:r>
      <w:r w:rsidRPr="00116AD0">
        <w:rPr>
          <w:lang w:val="en-US"/>
        </w:rPr>
        <w:fldChar w:fldCharType="end"/>
      </w:r>
      <w:r w:rsidRPr="00116AD0">
        <w:rPr>
          <w:lang w:val="en-US"/>
        </w:rPr>
        <w:t>, there is one agreement regarding K0</w:t>
      </w:r>
    </w:p>
    <w:p w14:paraId="2259BA4D" w14:textId="77777777" w:rsidR="00684805" w:rsidRPr="00116AD0" w:rsidRDefault="00684805" w:rsidP="00684805">
      <w:pPr>
        <w:numPr>
          <w:ilvl w:val="0"/>
          <w:numId w:val="16"/>
        </w:numPr>
        <w:rPr>
          <w:rFonts w:eastAsia="MS Mincho"/>
          <w:lang w:val="en-US" w:eastAsia="ja-JP"/>
        </w:rPr>
      </w:pPr>
      <w:r w:rsidRPr="00116AD0">
        <w:rPr>
          <w:rFonts w:eastAsia="MS Mincho"/>
          <w:lang w:val="en-US" w:eastAsia="ja-JP"/>
        </w:rPr>
        <w:t xml:space="preserve">All Rel.15 UE supports minimum value of K0 equal to 0, i.e., DL assignment and the scheduled DL data are in the same slot. </w:t>
      </w:r>
    </w:p>
    <w:p w14:paraId="674CED31" w14:textId="77777777" w:rsidR="00684805" w:rsidRPr="00116AD0" w:rsidRDefault="00684805" w:rsidP="00684805">
      <w:pPr>
        <w:rPr>
          <w:lang w:val="en-US"/>
        </w:rPr>
      </w:pPr>
      <w:bookmarkStart w:id="13" w:name="_Hlk490204450"/>
      <w:r w:rsidRPr="00116AD0">
        <w:rPr>
          <w:lang w:val="en-US"/>
        </w:rPr>
        <w:t>In RAN1-AH#2 2017, there are further the following agreements:</w:t>
      </w:r>
    </w:p>
    <w:p w14:paraId="0D346D1C" w14:textId="77777777" w:rsidR="00684805" w:rsidRPr="00116AD0" w:rsidRDefault="00684805" w:rsidP="00684805">
      <w:pPr>
        <w:numPr>
          <w:ilvl w:val="0"/>
          <w:numId w:val="16"/>
        </w:numPr>
        <w:rPr>
          <w:rFonts w:eastAsia="MS Mincho"/>
          <w:lang w:val="en-US" w:eastAsia="ja-JP"/>
        </w:rPr>
      </w:pPr>
      <w:r w:rsidRPr="00116AD0">
        <w:rPr>
          <w:rFonts w:eastAsia="MS Mincho"/>
          <w:lang w:val="en-US" w:eastAsia="ja-JP"/>
        </w:rPr>
        <w:t>For NR, RAN1 should consider the UE processing time(s) in terms of symbols (N1, N2) together with absolute time (in us), instead of slots (K)</w:t>
      </w:r>
    </w:p>
    <w:p w14:paraId="2F4A8BC3" w14:textId="77777777" w:rsidR="00684805" w:rsidRPr="00116AD0" w:rsidRDefault="00684805" w:rsidP="00684805">
      <w:pPr>
        <w:pStyle w:val="BodyText"/>
        <w:numPr>
          <w:ilvl w:val="1"/>
          <w:numId w:val="16"/>
        </w:numPr>
        <w:rPr>
          <w:rFonts w:eastAsia="Yu Mincho"/>
          <w:lang w:val="en-US" w:eastAsia="ja-JP"/>
        </w:rPr>
      </w:pPr>
      <w:r w:rsidRPr="00116AD0">
        <w:rPr>
          <w:rFonts w:eastAsia="Yu Mincho"/>
          <w:lang w:val="en-US" w:eastAsia="ja-JP"/>
        </w:rPr>
        <w:t>N1: the number of OFDM symbols required for UE processing from the end of NR-PDSCH reception to the earliest possible start of the corresponding ACK/NACK transmission from UE perspective.</w:t>
      </w:r>
    </w:p>
    <w:p w14:paraId="59E08158" w14:textId="77777777" w:rsidR="00684805" w:rsidRPr="00116AD0" w:rsidRDefault="00684805" w:rsidP="00684805">
      <w:pPr>
        <w:pStyle w:val="BodyText"/>
        <w:numPr>
          <w:ilvl w:val="1"/>
          <w:numId w:val="16"/>
        </w:numPr>
        <w:rPr>
          <w:rFonts w:eastAsia="Yu Mincho"/>
          <w:lang w:val="en-US" w:eastAsia="ja-JP"/>
        </w:rPr>
      </w:pPr>
      <w:r w:rsidRPr="00116AD0">
        <w:rPr>
          <w:rFonts w:eastAsia="Yu Mincho"/>
          <w:lang w:val="en-US" w:eastAsia="ja-JP"/>
        </w:rPr>
        <w:t>N2: the number of OFDM symbols required for UE processing from the end of NR-PDCCH containing the UL grant reception to the earliest possible start of the corresponding NR-PUSCH transmission from UE perspective.</w:t>
      </w:r>
    </w:p>
    <w:p w14:paraId="14CEEE14" w14:textId="77777777" w:rsidR="00684805" w:rsidRPr="00116AD0" w:rsidRDefault="00684805" w:rsidP="00684805">
      <w:pPr>
        <w:pStyle w:val="BodyText"/>
        <w:numPr>
          <w:ilvl w:val="1"/>
          <w:numId w:val="16"/>
        </w:numPr>
        <w:rPr>
          <w:rFonts w:eastAsia="Yu Mincho"/>
          <w:lang w:val="en-US" w:eastAsia="ja-JP"/>
        </w:rPr>
      </w:pPr>
      <w:r w:rsidRPr="00116AD0">
        <w:rPr>
          <w:rFonts w:eastAsia="Yu Mincho"/>
          <w:lang w:val="en-US" w:eastAsia="ja-JP"/>
        </w:rPr>
        <w:t>Note the timing advance is not included in N1 and N2</w:t>
      </w:r>
    </w:p>
    <w:p w14:paraId="61903853" w14:textId="77777777" w:rsidR="00684805" w:rsidRPr="00116AD0" w:rsidRDefault="00684805" w:rsidP="00684805">
      <w:pPr>
        <w:numPr>
          <w:ilvl w:val="2"/>
          <w:numId w:val="19"/>
        </w:numPr>
        <w:overflowPunct/>
        <w:autoSpaceDE/>
        <w:autoSpaceDN/>
        <w:adjustRightInd/>
        <w:spacing w:after="0"/>
        <w:jc w:val="left"/>
        <w:textAlignment w:val="auto"/>
        <w:rPr>
          <w:rFonts w:eastAsia="Yu Mincho"/>
          <w:lang w:val="en-US" w:eastAsia="ja-JP"/>
        </w:rPr>
      </w:pPr>
      <w:r w:rsidRPr="00116AD0">
        <w:rPr>
          <w:rFonts w:eastAsia="Yu Mincho"/>
          <w:lang w:val="en-US" w:eastAsia="ja-JP"/>
        </w:rPr>
        <w:t>FFS whether other aspects, e.g. UE UL/DL switching time, etc. are included in N1 and N2</w:t>
      </w:r>
    </w:p>
    <w:p w14:paraId="74CDB7CB" w14:textId="77777777" w:rsidR="00684805" w:rsidRPr="00116AD0" w:rsidRDefault="00684805" w:rsidP="00684805">
      <w:pPr>
        <w:pStyle w:val="BodyText"/>
        <w:numPr>
          <w:ilvl w:val="1"/>
          <w:numId w:val="16"/>
        </w:numPr>
        <w:rPr>
          <w:rFonts w:eastAsia="Yu Mincho"/>
          <w:lang w:val="en-US" w:eastAsia="ja-JP"/>
        </w:rPr>
      </w:pPr>
      <w:r w:rsidRPr="00116AD0">
        <w:rPr>
          <w:rFonts w:eastAsia="Yu Mincho"/>
          <w:lang w:val="en-US" w:eastAsia="ja-JP"/>
        </w:rPr>
        <w:t>FFS between the following for each combination defined in the next slide</w:t>
      </w:r>
    </w:p>
    <w:p w14:paraId="1310D951" w14:textId="77777777" w:rsidR="00684805" w:rsidRPr="00116AD0" w:rsidRDefault="00684805" w:rsidP="00684805">
      <w:pPr>
        <w:numPr>
          <w:ilvl w:val="2"/>
          <w:numId w:val="19"/>
        </w:numPr>
        <w:overflowPunct/>
        <w:autoSpaceDE/>
        <w:autoSpaceDN/>
        <w:adjustRightInd/>
        <w:spacing w:after="0"/>
        <w:jc w:val="left"/>
        <w:textAlignment w:val="auto"/>
        <w:rPr>
          <w:rFonts w:eastAsia="Yu Mincho"/>
          <w:lang w:val="en-US" w:eastAsia="ja-JP"/>
        </w:rPr>
      </w:pPr>
      <w:r w:rsidRPr="00116AD0">
        <w:rPr>
          <w:rFonts w:eastAsia="Yu Mincho"/>
          <w:lang w:val="en-US" w:eastAsia="ja-JP"/>
        </w:rPr>
        <w:t>Opt 1: UE reports N1 and N2 as UE capability</w:t>
      </w:r>
    </w:p>
    <w:p w14:paraId="086DA191" w14:textId="77777777" w:rsidR="00684805" w:rsidRPr="00116AD0" w:rsidRDefault="00684805" w:rsidP="00684805">
      <w:pPr>
        <w:numPr>
          <w:ilvl w:val="2"/>
          <w:numId w:val="19"/>
        </w:numPr>
        <w:overflowPunct/>
        <w:autoSpaceDE/>
        <w:autoSpaceDN/>
        <w:adjustRightInd/>
        <w:spacing w:after="0"/>
        <w:jc w:val="left"/>
        <w:textAlignment w:val="auto"/>
        <w:rPr>
          <w:rFonts w:eastAsia="Yu Mincho"/>
          <w:lang w:val="en-US" w:eastAsia="ja-JP"/>
        </w:rPr>
      </w:pPr>
      <w:r w:rsidRPr="00116AD0">
        <w:rPr>
          <w:rFonts w:eastAsia="Yu Mincho"/>
          <w:lang w:val="en-US" w:eastAsia="ja-JP"/>
        </w:rPr>
        <w:t>Opt 2: Fixed values of N1 and N2</w:t>
      </w:r>
    </w:p>
    <w:p w14:paraId="70DBE06F" w14:textId="77777777" w:rsidR="00684805" w:rsidRPr="00116AD0" w:rsidRDefault="00684805" w:rsidP="00684805">
      <w:pPr>
        <w:pStyle w:val="BodyText"/>
        <w:numPr>
          <w:ilvl w:val="1"/>
          <w:numId w:val="16"/>
        </w:numPr>
        <w:rPr>
          <w:rFonts w:eastAsia="Yu Mincho"/>
          <w:lang w:val="en-US" w:eastAsia="ja-JP"/>
        </w:rPr>
      </w:pPr>
      <w:r w:rsidRPr="00116AD0">
        <w:rPr>
          <w:rFonts w:eastAsia="Yu Mincho"/>
          <w:lang w:val="en-US" w:eastAsia="ja-JP"/>
        </w:rPr>
        <w:t>UE is not expected transmit anything in uplink if the network set the values of K1 and/or K2 without leaving sufficient time for UE processing</w:t>
      </w:r>
    </w:p>
    <w:bookmarkEnd w:id="12"/>
    <w:bookmarkEnd w:id="13"/>
    <w:p w14:paraId="3E3DFB55" w14:textId="77777777" w:rsidR="00684805" w:rsidRPr="00116AD0" w:rsidRDefault="00684805" w:rsidP="00B83705">
      <w:pPr>
        <w:pStyle w:val="Figure"/>
        <w:rPr>
          <w:rFonts w:eastAsia="MS Mincho"/>
          <w:lang w:val="en-US" w:eastAsia="ja-JP"/>
        </w:rPr>
      </w:pPr>
      <w:r w:rsidRPr="00116AD0">
        <w:rPr>
          <w:noProof/>
          <w:lang w:val="en-US"/>
        </w:rPr>
        <w:drawing>
          <wp:inline distT="0" distB="0" distL="0" distR="0" wp14:anchorId="2D48CBEA" wp14:editId="5CC3A1C1">
            <wp:extent cx="5342671" cy="1234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9668" cy="1236057"/>
                    </a:xfrm>
                    <a:prstGeom prst="rect">
                      <a:avLst/>
                    </a:prstGeom>
                    <a:noFill/>
                  </pic:spPr>
                </pic:pic>
              </a:graphicData>
            </a:graphic>
          </wp:inline>
        </w:drawing>
      </w:r>
    </w:p>
    <w:p w14:paraId="6ADFD334" w14:textId="77777777" w:rsidR="00684805" w:rsidRPr="00116AD0" w:rsidRDefault="00684805" w:rsidP="00684805">
      <w:pPr>
        <w:pStyle w:val="Caption"/>
        <w:rPr>
          <w:rFonts w:eastAsia="MS Mincho"/>
          <w:lang w:val="en-US" w:eastAsia="ja-JP"/>
        </w:rPr>
      </w:pPr>
      <w:bookmarkStart w:id="14" w:name="_Ref487458337"/>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Pr="00116AD0">
        <w:rPr>
          <w:noProof/>
          <w:lang w:val="en-US"/>
        </w:rPr>
        <w:t>2</w:t>
      </w:r>
      <w:r w:rsidRPr="00116AD0">
        <w:rPr>
          <w:lang w:val="en-US"/>
        </w:rPr>
        <w:fldChar w:fldCharType="end"/>
      </w:r>
      <w:bookmarkEnd w:id="14"/>
      <w:r w:rsidRPr="00116AD0">
        <w:rPr>
          <w:lang w:val="en-US"/>
        </w:rPr>
        <w:t xml:space="preserve"> Illustration of N1 and N2</w:t>
      </w:r>
    </w:p>
    <w:p w14:paraId="27B65E3D" w14:textId="77777777" w:rsidR="00684805" w:rsidRPr="00116AD0" w:rsidRDefault="00684805" w:rsidP="00684805">
      <w:pPr>
        <w:pStyle w:val="BodyText"/>
        <w:rPr>
          <w:lang w:val="en-US"/>
        </w:rPr>
      </w:pPr>
      <w:r w:rsidRPr="00116AD0">
        <w:rPr>
          <w:lang w:val="en-US"/>
        </w:rPr>
        <w:t xml:space="preserve">N1 and N2 is exemplified in </w:t>
      </w:r>
      <w:r w:rsidRPr="00116AD0">
        <w:rPr>
          <w:lang w:val="en-US"/>
        </w:rPr>
        <w:fldChar w:fldCharType="begin"/>
      </w:r>
      <w:r w:rsidRPr="00116AD0">
        <w:rPr>
          <w:lang w:val="en-US"/>
        </w:rPr>
        <w:instrText xml:space="preserve"> REF _Ref487458337 \h </w:instrText>
      </w:r>
      <w:r w:rsidRPr="00116AD0">
        <w:rPr>
          <w:lang w:val="en-US"/>
        </w:rPr>
      </w:r>
      <w:r w:rsidRPr="00116AD0">
        <w:rPr>
          <w:lang w:val="en-US"/>
        </w:rPr>
        <w:fldChar w:fldCharType="separate"/>
      </w:r>
      <w:r w:rsidRPr="00116AD0">
        <w:rPr>
          <w:lang w:val="en-US"/>
        </w:rPr>
        <w:t xml:space="preserve">Figure </w:t>
      </w:r>
      <w:r w:rsidRPr="00116AD0">
        <w:rPr>
          <w:noProof/>
          <w:lang w:val="en-US"/>
        </w:rPr>
        <w:t>2</w:t>
      </w:r>
      <w:r w:rsidRPr="00116AD0">
        <w:rPr>
          <w:lang w:val="en-US"/>
        </w:rPr>
        <w:fldChar w:fldCharType="end"/>
      </w:r>
      <w:r w:rsidRPr="00116AD0">
        <w:rPr>
          <w:lang w:val="en-US"/>
        </w:rPr>
        <w:t>.</w:t>
      </w:r>
    </w:p>
    <w:p w14:paraId="1A4A16D0" w14:textId="77777777" w:rsidR="00684805" w:rsidRPr="008B3385" w:rsidRDefault="00684805" w:rsidP="008B3385">
      <w:pPr>
        <w:pStyle w:val="Observation"/>
      </w:pPr>
      <w:bookmarkStart w:id="15" w:name="_Toc487120276"/>
      <w:bookmarkStart w:id="16" w:name="_Toc487120275"/>
      <w:bookmarkStart w:id="17" w:name="_Toc490228485"/>
      <w:bookmarkStart w:id="18" w:name="_Toc492469955"/>
      <w:bookmarkStart w:id="19" w:name="_Toc492470002"/>
      <w:bookmarkStart w:id="20" w:name="_Toc494358815"/>
      <w:bookmarkStart w:id="21" w:name="_Toc494411348"/>
      <w:r w:rsidRPr="008B3385">
        <w:t>RAN1 will investigate UE processing time using new parameters N1 (in OFDM symbol) and N2 (in OFDM symbol) instead of K1 (in slot) and K2 (in slot)</w:t>
      </w:r>
      <w:bookmarkEnd w:id="15"/>
      <w:r w:rsidRPr="008B3385">
        <w:t>.</w:t>
      </w:r>
      <w:bookmarkEnd w:id="16"/>
      <w:bookmarkEnd w:id="17"/>
      <w:bookmarkEnd w:id="18"/>
      <w:bookmarkEnd w:id="19"/>
      <w:bookmarkEnd w:id="20"/>
      <w:bookmarkEnd w:id="21"/>
    </w:p>
    <w:p w14:paraId="4EFD75B1" w14:textId="1B255013" w:rsidR="00A2052C" w:rsidRPr="00684805" w:rsidRDefault="00E83392" w:rsidP="00A2052C">
      <w:pPr>
        <w:rPr>
          <w:lang w:val="en-US"/>
        </w:rPr>
      </w:pPr>
      <w:r>
        <w:rPr>
          <w:lang w:val="en-US"/>
        </w:rPr>
        <w:lastRenderedPageBreak/>
        <w:t>From recent RAN1 AdHoc #3</w:t>
      </w:r>
      <w:r w:rsidR="00D643C6">
        <w:rPr>
          <w:lang w:val="en-US"/>
        </w:rPr>
        <w:t xml:space="preserve"> </w:t>
      </w:r>
      <w:r w:rsidR="00D643C6">
        <w:rPr>
          <w:lang w:val="en-US"/>
        </w:rPr>
        <w:fldChar w:fldCharType="begin"/>
      </w:r>
      <w:r w:rsidR="00D643C6">
        <w:rPr>
          <w:lang w:val="en-US"/>
        </w:rPr>
        <w:instrText xml:space="preserve"> REF _Ref494114162 \r \h </w:instrText>
      </w:r>
      <w:r w:rsidR="00D643C6">
        <w:rPr>
          <w:lang w:val="en-US"/>
        </w:rPr>
      </w:r>
      <w:r w:rsidR="00D643C6">
        <w:rPr>
          <w:lang w:val="en-US"/>
        </w:rPr>
        <w:fldChar w:fldCharType="separate"/>
      </w:r>
      <w:r w:rsidR="00D643C6">
        <w:rPr>
          <w:lang w:val="en-US"/>
        </w:rPr>
        <w:t>[4]</w:t>
      </w:r>
      <w:r w:rsidR="00D643C6">
        <w:rPr>
          <w:lang w:val="en-US"/>
        </w:rPr>
        <w:fldChar w:fldCharType="end"/>
      </w:r>
      <w:r w:rsidR="00F9552B">
        <w:rPr>
          <w:lang w:val="en-US"/>
        </w:rPr>
        <w:t>, it is still being discussed on the candidate values for these parameters.</w:t>
      </w:r>
      <w:r w:rsidR="00E071DF">
        <w:rPr>
          <w:lang w:val="en-US"/>
        </w:rPr>
        <w:t xml:space="preserve"> Compared to the pre</w:t>
      </w:r>
      <w:r w:rsidR="00223BC5">
        <w:rPr>
          <w:lang w:val="en-US"/>
        </w:rPr>
        <w:t>vious version of this document more details on the HARQ parameters are provided</w:t>
      </w:r>
      <w:r w:rsidR="00CB13AA">
        <w:rPr>
          <w:lang w:val="en-US"/>
        </w:rPr>
        <w:t xml:space="preserve"> in section 2.1</w:t>
      </w:r>
      <w:r w:rsidR="00223BC5">
        <w:rPr>
          <w:lang w:val="en-US"/>
        </w:rPr>
        <w:t>.</w:t>
      </w:r>
    </w:p>
    <w:p w14:paraId="6C98EABA" w14:textId="4BBF590A" w:rsidR="004000E8" w:rsidRDefault="004000E8" w:rsidP="00CE0424">
      <w:pPr>
        <w:pStyle w:val="Heading1"/>
      </w:pPr>
      <w:bookmarkStart w:id="22" w:name="_Ref178064866"/>
      <w:r w:rsidRPr="00CE0424">
        <w:t>Discussion</w:t>
      </w:r>
      <w:bookmarkEnd w:id="22"/>
    </w:p>
    <w:p w14:paraId="7779F7F6" w14:textId="77777777" w:rsidR="008B3385" w:rsidRPr="00116AD0" w:rsidRDefault="008B3385" w:rsidP="008B3385">
      <w:pPr>
        <w:pStyle w:val="BodyText"/>
        <w:rPr>
          <w:lang w:val="en-US"/>
        </w:rPr>
      </w:pPr>
      <w:r w:rsidRPr="00116AD0">
        <w:rPr>
          <w:lang w:val="en-US"/>
        </w:rPr>
        <w:t>For the 4 HARQ delay parameters above, currently it is being discussed in RAN 1 on which parameters shall be dynamically indicated to the UE and the candidate values for the parameters. Dynamical indication of the delay parameters allows more flexibility for scheduling behavior of the scheduler at the cost of large DCI size. Hence, we shall carefully analyze which parameter and its candidate values shall be selected for HARQ operation. Below is an analysis on the requirements of different delay parameter settings:</w:t>
      </w:r>
    </w:p>
    <w:p w14:paraId="1D2A8FBB" w14:textId="4AB2C545" w:rsidR="008B3385" w:rsidRPr="00116AD0" w:rsidRDefault="008B3385" w:rsidP="008B3385">
      <w:pPr>
        <w:pStyle w:val="B1"/>
        <w:rPr>
          <w:lang w:val="en-US"/>
        </w:rPr>
      </w:pPr>
      <w:r w:rsidRPr="00116AD0">
        <w:rPr>
          <w:lang w:val="en-US"/>
        </w:rPr>
        <w:t>-</w:t>
      </w:r>
      <w:r w:rsidRPr="00116AD0">
        <w:rPr>
          <w:lang w:val="en-US"/>
        </w:rPr>
        <w:tab/>
        <w:t xml:space="preserve">For K0, it was agreed that K0=0 should be supported by all UEs similarly as LTE, which means the PDSCH is transmitted in the same slot as the corresponding PDCCH. In NR, there is also operation bandwidth reconfiguration requirement for a UE. For instance, a UE may be firstly configured to be operated over a smaller subband within a large carrier bandwidth for UE power saving. However, when the UE requires high data rate, the UE should be reconfigured to be operated in a larger bandwidth. There are multiple options to reconfigure the UE bandwidth: RRC signaling, MAC CE or physical layer signaling, within which RRC signaling and MAC CE has much larger delay and overhead than PDCCH. By indicating a delay via K0 (e.g. K0=1) in PDCCH, the signaling delay for a UE to open up its operation bandwidth can be minimized and the UE can still get time budget to finish the operation bandwidth opening up. UE4 in </w:t>
      </w:r>
      <w:r w:rsidRPr="00116AD0">
        <w:rPr>
          <w:lang w:val="en-US"/>
        </w:rPr>
        <w:fldChar w:fldCharType="begin"/>
      </w:r>
      <w:r w:rsidRPr="00116AD0">
        <w:rPr>
          <w:lang w:val="en-US"/>
        </w:rPr>
        <w:instrText xml:space="preserve"> REF _Ref481064876 \h  \* MERGEFORMAT </w:instrText>
      </w:r>
      <w:r w:rsidRPr="00116AD0">
        <w:rPr>
          <w:lang w:val="en-US"/>
        </w:rPr>
      </w:r>
      <w:r w:rsidRPr="00116AD0">
        <w:rPr>
          <w:lang w:val="en-US"/>
        </w:rPr>
        <w:fldChar w:fldCharType="separate"/>
      </w:r>
      <w:r w:rsidRPr="00116AD0">
        <w:rPr>
          <w:lang w:val="en-US"/>
        </w:rPr>
        <w:t xml:space="preserve">Figure </w:t>
      </w:r>
      <w:r w:rsidRPr="00116AD0">
        <w:rPr>
          <w:lang w:val="en-US"/>
        </w:rPr>
        <w:fldChar w:fldCharType="end"/>
      </w:r>
      <w:r w:rsidR="00223BC5">
        <w:rPr>
          <w:lang w:val="en-US"/>
        </w:rPr>
        <w:t>3</w:t>
      </w:r>
      <w:r w:rsidRPr="00116AD0">
        <w:rPr>
          <w:lang w:val="en-US"/>
        </w:rPr>
        <w:t xml:space="preserve"> shows timing example of UE bandwidth adaptation.</w:t>
      </w:r>
    </w:p>
    <w:p w14:paraId="04D8BA0D" w14:textId="77777777" w:rsidR="008B3385" w:rsidRPr="008B3385" w:rsidRDefault="008B3385" w:rsidP="008B3385">
      <w:pPr>
        <w:pStyle w:val="Observation"/>
      </w:pPr>
      <w:bookmarkStart w:id="23" w:name="_Toc490228486"/>
      <w:bookmarkStart w:id="24" w:name="_Toc492469956"/>
      <w:bookmarkStart w:id="25" w:name="_Toc492470003"/>
      <w:bookmarkStart w:id="26" w:name="_Toc494358816"/>
      <w:bookmarkStart w:id="27" w:name="_Toc494411349"/>
      <w:r w:rsidRPr="008B3385">
        <w:t>Adaptation of K0 facilitate dynamic operation bandwidth adaptation of a UE.</w:t>
      </w:r>
      <w:bookmarkEnd w:id="23"/>
      <w:bookmarkEnd w:id="24"/>
      <w:bookmarkEnd w:id="25"/>
      <w:bookmarkEnd w:id="26"/>
      <w:bookmarkEnd w:id="27"/>
    </w:p>
    <w:p w14:paraId="09663248" w14:textId="77777777" w:rsidR="008B3385" w:rsidRPr="00116AD0" w:rsidRDefault="008B3385" w:rsidP="008B3385">
      <w:pPr>
        <w:pStyle w:val="B1"/>
        <w:rPr>
          <w:lang w:val="en-US"/>
        </w:rPr>
      </w:pPr>
      <w:r w:rsidRPr="00116AD0">
        <w:rPr>
          <w:lang w:val="en-US"/>
        </w:rPr>
        <w:t>-</w:t>
      </w:r>
      <w:r w:rsidRPr="00116AD0">
        <w:rPr>
          <w:lang w:val="en-US"/>
        </w:rPr>
        <w:tab/>
        <w:t xml:space="preserve">For N1 and N2, it is important to have the possibility for ‘same slot’ ACK for DL data transmission and the ‘same slot’ grant and UL data transmission in order to support delay sensitive services, e.g. N1=1, N2=1. Some low-end UEs may support a minimum of e.g. N1=12 and N2=12; the values should at least be significantly smaller than LTE to get a latency gain. Note that, even if the UE is capable of transmitting data or ACK per N2=1/N1=1, there might be reasons, e.g. coexistence with TD-LTE or avoiding unnecessary UL/DL switching, when the NW wants the ACK at a later time instant. In </w:t>
      </w:r>
      <w:r w:rsidRPr="00116AD0">
        <w:rPr>
          <w:lang w:val="en-US"/>
        </w:rPr>
        <w:fldChar w:fldCharType="begin"/>
      </w:r>
      <w:r w:rsidRPr="00116AD0">
        <w:rPr>
          <w:lang w:val="en-US"/>
        </w:rPr>
        <w:instrText xml:space="preserve"> REF _Ref481064876 \h  \* MERGEFORMAT </w:instrText>
      </w:r>
      <w:r w:rsidRPr="00116AD0">
        <w:rPr>
          <w:lang w:val="en-US"/>
        </w:rPr>
      </w:r>
      <w:r w:rsidRPr="00116AD0">
        <w:rPr>
          <w:lang w:val="en-US"/>
        </w:rPr>
        <w:fldChar w:fldCharType="separate"/>
      </w:r>
      <w:r w:rsidRPr="00116AD0">
        <w:rPr>
          <w:lang w:val="en-US"/>
        </w:rPr>
        <w:t>Figure 3</w:t>
      </w:r>
      <w:r w:rsidRPr="00116AD0">
        <w:rPr>
          <w:lang w:val="en-US"/>
        </w:rPr>
        <w:fldChar w:fldCharType="end"/>
      </w:r>
      <w:r w:rsidRPr="00116AD0">
        <w:rPr>
          <w:lang w:val="en-US"/>
        </w:rPr>
        <w:t xml:space="preserve">, scheduling of UE 1 and UE 3 exemplifies low latency DL/UL data transmission by setting N1 and N2 respectively; scheduling of UE 2 exemplifies to avoid unnecessary UL/DL switching. </w:t>
      </w:r>
    </w:p>
    <w:p w14:paraId="30A3B86B" w14:textId="77777777" w:rsidR="008B3385" w:rsidRPr="008B3385" w:rsidRDefault="008B3385" w:rsidP="008B3385">
      <w:pPr>
        <w:pStyle w:val="Observation"/>
      </w:pPr>
      <w:bookmarkStart w:id="28" w:name="_Toc490228487"/>
      <w:bookmarkStart w:id="29" w:name="_Toc492469957"/>
      <w:bookmarkStart w:id="30" w:name="_Toc492470004"/>
      <w:bookmarkStart w:id="31" w:name="_Toc494358817"/>
      <w:bookmarkStart w:id="32" w:name="_Toc494411350"/>
      <w:r w:rsidRPr="008B3385">
        <w:t>Adaptation of N1 and N2 enables quick configuration of short transmission delay.</w:t>
      </w:r>
      <w:bookmarkEnd w:id="28"/>
      <w:bookmarkEnd w:id="29"/>
      <w:bookmarkEnd w:id="30"/>
      <w:bookmarkEnd w:id="31"/>
      <w:bookmarkEnd w:id="32"/>
    </w:p>
    <w:p w14:paraId="13E6A68F" w14:textId="77777777" w:rsidR="008B3385" w:rsidRPr="008B3385" w:rsidRDefault="008B3385" w:rsidP="008B3385">
      <w:pPr>
        <w:pStyle w:val="Observation"/>
      </w:pPr>
      <w:bookmarkStart w:id="33" w:name="_Toc490228488"/>
      <w:bookmarkStart w:id="34" w:name="_Toc492469958"/>
      <w:bookmarkStart w:id="35" w:name="_Toc492470005"/>
      <w:bookmarkStart w:id="36" w:name="_Toc494358818"/>
      <w:bookmarkStart w:id="37" w:name="_Toc494411351"/>
      <w:r w:rsidRPr="008B3385">
        <w:t>Adaptation of N1 and N2 can reduce the UL/DL switching overhead at dynamic TDD operation.</w:t>
      </w:r>
      <w:bookmarkEnd w:id="33"/>
      <w:bookmarkEnd w:id="34"/>
      <w:bookmarkEnd w:id="35"/>
      <w:bookmarkEnd w:id="36"/>
      <w:bookmarkEnd w:id="37"/>
    </w:p>
    <w:p w14:paraId="12906C95" w14:textId="39480964" w:rsidR="008B3385" w:rsidRPr="00116AD0" w:rsidRDefault="008B3385" w:rsidP="008B3385">
      <w:pPr>
        <w:pStyle w:val="B1"/>
        <w:rPr>
          <w:lang w:val="en-US"/>
        </w:rPr>
      </w:pPr>
      <w:r w:rsidRPr="00116AD0">
        <w:rPr>
          <w:lang w:val="en-US"/>
        </w:rPr>
        <w:t>-</w:t>
      </w:r>
      <w:r w:rsidRPr="00116AD0">
        <w:rPr>
          <w:lang w:val="en-US"/>
        </w:rPr>
        <w:tab/>
        <w:t xml:space="preserve">For K3, it is a pure </w:t>
      </w:r>
      <w:r w:rsidR="00223BC5">
        <w:rPr>
          <w:lang w:val="en-US"/>
        </w:rPr>
        <w:t xml:space="preserve">gNB </w:t>
      </w:r>
      <w:r w:rsidRPr="00116AD0">
        <w:rPr>
          <w:lang w:val="en-US"/>
        </w:rPr>
        <w:t>implementation issue when scheduled HARQ feedback is applied. The network can schedule the HARQ feedback for DL data transmission when necessary. There is no clear benefit to dynamically indicate K3 value for HARQ feedback in DL assignment for DL data transmission at the cost of large DCI size.</w:t>
      </w:r>
    </w:p>
    <w:p w14:paraId="49A23F2F" w14:textId="0577EB4C" w:rsidR="008B3385" w:rsidRPr="008B3385" w:rsidRDefault="008B3385" w:rsidP="008B3385">
      <w:pPr>
        <w:pStyle w:val="Observation"/>
      </w:pPr>
      <w:bookmarkStart w:id="38" w:name="_Toc490228489"/>
      <w:bookmarkStart w:id="39" w:name="_Toc492469959"/>
      <w:bookmarkStart w:id="40" w:name="_Toc492470006"/>
      <w:bookmarkStart w:id="41" w:name="_Toc494358819"/>
      <w:bookmarkStart w:id="42" w:name="_Toc494411352"/>
      <w:r w:rsidRPr="008B3385">
        <w:t>It is not necessary to configure K3 with explicit signalling</w:t>
      </w:r>
      <w:bookmarkEnd w:id="38"/>
      <w:bookmarkEnd w:id="39"/>
      <w:bookmarkEnd w:id="40"/>
      <w:bookmarkEnd w:id="41"/>
      <w:r w:rsidR="00B83705">
        <w:t>.</w:t>
      </w:r>
      <w:bookmarkEnd w:id="42"/>
    </w:p>
    <w:p w14:paraId="705ECA9C" w14:textId="77777777" w:rsidR="008B3385" w:rsidRPr="00116AD0" w:rsidRDefault="008B3385" w:rsidP="008B3385">
      <w:pPr>
        <w:pStyle w:val="Figure"/>
        <w:rPr>
          <w:lang w:val="en-US" w:eastAsia="ja-JP"/>
        </w:rPr>
      </w:pPr>
      <w:r w:rsidRPr="00116AD0">
        <w:rPr>
          <w:noProof/>
          <w:lang w:val="en-US"/>
        </w:rPr>
        <w:lastRenderedPageBreak/>
        <w:drawing>
          <wp:inline distT="0" distB="0" distL="0" distR="0" wp14:anchorId="144E0287" wp14:editId="0FC3BD0D">
            <wp:extent cx="6490970" cy="361906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91540" cy="3619387"/>
                    </a:xfrm>
                    <a:prstGeom prst="rect">
                      <a:avLst/>
                    </a:prstGeom>
                    <a:noFill/>
                  </pic:spPr>
                </pic:pic>
              </a:graphicData>
            </a:graphic>
          </wp:inline>
        </w:drawing>
      </w:r>
    </w:p>
    <w:p w14:paraId="7F8FA905" w14:textId="77777777" w:rsidR="008B3385" w:rsidRPr="00116AD0" w:rsidRDefault="008B3385" w:rsidP="008B3385">
      <w:pPr>
        <w:pStyle w:val="Caption"/>
        <w:rPr>
          <w:lang w:val="en-US"/>
        </w:rPr>
      </w:pPr>
      <w:bookmarkStart w:id="43" w:name="_Ref481064876"/>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Pr="00116AD0">
        <w:rPr>
          <w:noProof/>
          <w:lang w:val="en-US"/>
        </w:rPr>
        <w:t>3</w:t>
      </w:r>
      <w:r w:rsidRPr="00116AD0">
        <w:rPr>
          <w:lang w:val="en-US"/>
        </w:rPr>
        <w:fldChar w:fldCharType="end"/>
      </w:r>
      <w:bookmarkEnd w:id="43"/>
      <w:r w:rsidRPr="00116AD0">
        <w:rPr>
          <w:lang w:val="en-US"/>
        </w:rPr>
        <w:t xml:space="preserve"> HARQ delay parameter setting in HARQ operation</w:t>
      </w:r>
    </w:p>
    <w:p w14:paraId="455429D0" w14:textId="77777777" w:rsidR="008B3385" w:rsidRPr="00116AD0" w:rsidRDefault="008B3385" w:rsidP="008B3385">
      <w:pPr>
        <w:pStyle w:val="BodyText"/>
        <w:rPr>
          <w:lang w:val="en-US"/>
        </w:rPr>
      </w:pPr>
      <w:bookmarkStart w:id="44" w:name="_Toc484591097"/>
      <w:bookmarkStart w:id="45" w:name="_Toc484591098"/>
      <w:bookmarkEnd w:id="44"/>
      <w:bookmarkEnd w:id="45"/>
      <w:r w:rsidRPr="00116AD0">
        <w:rPr>
          <w:lang w:val="en-US"/>
        </w:rPr>
        <w:t xml:space="preserve">From above discussions, it can be concluded that uniform delay for HARQ operation in LTE cannot be reused in NR due to various requirements of either latency requirement of service or radio performance improvements (e.g. spectrum efficiency, UE power saving etc). Considering this, a set of candidate values for some parameter shall be identified in RRC spec. From the defined candidate values for one HARQ delay parameter, the RRC can further select a subset of candidate values for the HARQ delay parameter for a UE according to the requirements of service latency and/or radio performance. </w:t>
      </w:r>
    </w:p>
    <w:p w14:paraId="48D4FA49" w14:textId="77777777" w:rsidR="008B3385" w:rsidRPr="00116AD0" w:rsidRDefault="008B3385" w:rsidP="008B3385">
      <w:pPr>
        <w:pStyle w:val="BodyText"/>
        <w:rPr>
          <w:lang w:val="en-US"/>
        </w:rPr>
      </w:pPr>
      <w:r w:rsidRPr="00116AD0">
        <w:rPr>
          <w:lang w:val="en-US"/>
        </w:rPr>
        <w:t>At scheduling, the scheduler can dynamically determine which values are applied for HARQ delay parameters for the scheduled data transmission. Then the gNB can indicate the determined values to the UE via corresponding index instead in DCI. Compared to indicate the absolute value in DCI, indicating an index for a delay parameter means:</w:t>
      </w:r>
    </w:p>
    <w:p w14:paraId="2D92A7AD" w14:textId="77777777" w:rsidR="008B3385" w:rsidRPr="00116AD0" w:rsidRDefault="008B3385" w:rsidP="008B3385">
      <w:pPr>
        <w:pStyle w:val="B1"/>
        <w:rPr>
          <w:lang w:val="en-US"/>
        </w:rPr>
      </w:pPr>
      <w:r w:rsidRPr="00116AD0">
        <w:rPr>
          <w:lang w:val="en-US"/>
        </w:rPr>
        <w:t>-</w:t>
      </w:r>
      <w:r w:rsidRPr="00116AD0">
        <w:rPr>
          <w:lang w:val="en-US"/>
        </w:rPr>
        <w:tab/>
        <w:t>Good flexibility because the RRC conditionally configure the candidate value corresponding to an index value.</w:t>
      </w:r>
    </w:p>
    <w:p w14:paraId="6E375390" w14:textId="77777777" w:rsidR="008B3385" w:rsidRPr="00116AD0" w:rsidRDefault="008B3385" w:rsidP="008B3385">
      <w:pPr>
        <w:pStyle w:val="B1"/>
        <w:rPr>
          <w:lang w:val="en-US"/>
        </w:rPr>
      </w:pPr>
      <w:r w:rsidRPr="00116AD0">
        <w:rPr>
          <w:lang w:val="en-US"/>
        </w:rPr>
        <w:t>-</w:t>
      </w:r>
      <w:r w:rsidRPr="00116AD0">
        <w:rPr>
          <w:lang w:val="en-US"/>
        </w:rPr>
        <w:tab/>
        <w:t>Good future compatibility because it is easy to add/remove candidate value for one HARQ delay parameter in future if necessary.</w:t>
      </w:r>
    </w:p>
    <w:p w14:paraId="5B8DB299" w14:textId="3AB88F23" w:rsidR="008B3385" w:rsidRDefault="008B3385" w:rsidP="008B3385">
      <w:pPr>
        <w:pStyle w:val="Observation"/>
      </w:pPr>
      <w:bookmarkStart w:id="46" w:name="_Toc490228490"/>
      <w:bookmarkStart w:id="47" w:name="_Toc492469960"/>
      <w:bookmarkStart w:id="48" w:name="_Toc492470007"/>
      <w:bookmarkStart w:id="49" w:name="_Toc494358820"/>
      <w:bookmarkStart w:id="50" w:name="_Toc494411353"/>
      <w:r w:rsidRPr="008B3385">
        <w:t>Good flexibility and future compatibility can be achieved to preconfigure candidate values for a HARQ delay parameter (K0, N1 and N2) via RRC</w:t>
      </w:r>
      <w:bookmarkEnd w:id="46"/>
      <w:bookmarkEnd w:id="47"/>
      <w:bookmarkEnd w:id="48"/>
      <w:bookmarkEnd w:id="49"/>
      <w:bookmarkEnd w:id="50"/>
    </w:p>
    <w:p w14:paraId="480F3CD4" w14:textId="5CA1EF68" w:rsidR="00223BC5" w:rsidRDefault="00223BC5" w:rsidP="00B83705">
      <w:pPr>
        <w:pStyle w:val="Heading2"/>
      </w:pPr>
      <w:r>
        <w:t>HARQ parameters in RRC</w:t>
      </w:r>
    </w:p>
    <w:p w14:paraId="6941D98B" w14:textId="43D43F82" w:rsidR="00B83705" w:rsidRDefault="00350280" w:rsidP="00B83705">
      <w:pPr>
        <w:pStyle w:val="BodyText"/>
      </w:pPr>
      <w:r>
        <w:t>In RAN1, it was agreed that K0=0 should be supported, which mean</w:t>
      </w:r>
      <w:r w:rsidR="00872CA4">
        <w:t>s</w:t>
      </w:r>
      <w:r>
        <w:t xml:space="preserve"> PDCCH and associated PDSCH </w:t>
      </w:r>
      <w:r w:rsidR="00872CA4">
        <w:t>can be</w:t>
      </w:r>
      <w:r>
        <w:t xml:space="preserve"> transmitted in the same slot as in LTE. RAN1 are still working on the candidate values</w:t>
      </w:r>
      <w:r w:rsidR="007E380D">
        <w:t xml:space="preserve"> for these param</w:t>
      </w:r>
      <w:r w:rsidR="00223BC5">
        <w:t>e</w:t>
      </w:r>
      <w:r w:rsidR="007E380D">
        <w:t>ters considering the processing capability of UE. From RAN2 perspective,</w:t>
      </w:r>
      <w:r w:rsidR="00D975A2">
        <w:t xml:space="preserve"> </w:t>
      </w:r>
      <w:r w:rsidR="00223BC5">
        <w:t xml:space="preserve">the </w:t>
      </w:r>
      <w:r w:rsidR="002F6A6D">
        <w:t xml:space="preserve">signalling framework </w:t>
      </w:r>
      <w:r w:rsidR="00223BC5">
        <w:t xml:space="preserve">can be </w:t>
      </w:r>
      <w:r w:rsidR="002F6A6D">
        <w:t xml:space="preserve">investigated </w:t>
      </w:r>
      <w:r w:rsidR="00223BC5">
        <w:t>without having the exact</w:t>
      </w:r>
      <w:r w:rsidR="00B83705">
        <w:t xml:space="preserve"> values available</w:t>
      </w:r>
      <w:r w:rsidR="002F6A6D">
        <w:t xml:space="preserve">. </w:t>
      </w:r>
      <w:r w:rsidR="00B83705">
        <w:t>The proposed signalling framework assumes the following steps:</w:t>
      </w:r>
    </w:p>
    <w:p w14:paraId="29DAF284" w14:textId="247780D6" w:rsidR="006A2A6D" w:rsidRDefault="006A2A6D" w:rsidP="00B83705">
      <w:pPr>
        <w:pStyle w:val="B1"/>
      </w:pPr>
      <w:r>
        <w:t>0.</w:t>
      </w:r>
      <w:r>
        <w:tab/>
        <w:t>There is a large set of candidate timing values, larger than what can be efficiently indicated in DCI. They are represented in the IEs "*-DataInfo" below. We assume RAN1 will come up with these values which are represented by the parameters xi, yi, zi, respectively.</w:t>
      </w:r>
    </w:p>
    <w:p w14:paraId="40952A0E" w14:textId="29D52D75" w:rsidR="00B83705" w:rsidRDefault="00B83705" w:rsidP="00B83705">
      <w:pPr>
        <w:pStyle w:val="B1"/>
      </w:pPr>
      <w:r>
        <w:t>1.</w:t>
      </w:r>
      <w:r>
        <w:tab/>
        <w:t xml:space="preserve">The gNB configures the UE with a set of </w:t>
      </w:r>
      <w:r w:rsidR="006A2A6D">
        <w:t xml:space="preserve">possible timing values. They are represented by the IEs "*-dataList" below. These values can be chosen depending on </w:t>
      </w:r>
      <w:r w:rsidR="00142084">
        <w:t xml:space="preserve">delay requirement, numerology, UE capability, alignment of HARQ A/N feedback for multiple transmissions, TDD duplexing </w:t>
      </w:r>
      <w:r w:rsidR="006A2A6D">
        <w:t xml:space="preserve">for example. </w:t>
      </w:r>
      <w:r w:rsidR="006A2A6D">
        <w:lastRenderedPageBreak/>
        <w:t>The length of these lists should match the number of codepoints for the corresponding field in DCI. In the example below the maximum length is 8, but it is up to RAN1 to decide on this, and the value 8 is chosen arbitrarily.</w:t>
      </w:r>
    </w:p>
    <w:p w14:paraId="6F5258F7" w14:textId="613F2E9D" w:rsidR="006A2A6D" w:rsidRDefault="006A2A6D" w:rsidP="00B83705">
      <w:pPr>
        <w:pStyle w:val="B1"/>
      </w:pPr>
      <w:r>
        <w:t>2.</w:t>
      </w:r>
      <w:r>
        <w:tab/>
        <w:t>During the scheduling, the gNB selects the exact timing values for the upcoming transmission. These values are taken from the sets configures in step 1</w:t>
      </w:r>
      <w:r w:rsidR="00142084">
        <w:t xml:space="preserve"> and they are represented in DCI as codepoints to the sets.</w:t>
      </w:r>
    </w:p>
    <w:p w14:paraId="5C429C29" w14:textId="215C18FA" w:rsidR="006A2A6D" w:rsidRDefault="006A2A6D" w:rsidP="00B83705">
      <w:pPr>
        <w:pStyle w:val="BodyText"/>
      </w:pPr>
      <w:r>
        <w:t>This example provides great flexibility, but can be scaled down depending on the number of timing values developed in RAN1. For example, for K0, only 0 has been agreed and that value also provides the shortest delay. If RAN1 comes to the conclusion that only one value is supported in Rel-15 the corresponding list (</w:t>
      </w:r>
      <w:r w:rsidRPr="00142084">
        <w:rPr>
          <w:i/>
        </w:rPr>
        <w:t>Dl-assignment-to-DL-dataList</w:t>
      </w:r>
      <w:r>
        <w:t xml:space="preserve"> in this case) can be replaced by a single value.</w:t>
      </w:r>
    </w:p>
    <w:p w14:paraId="09D3D36F" w14:textId="27839E4D" w:rsidR="00355531" w:rsidRPr="009D024D" w:rsidRDefault="00355531" w:rsidP="00B83705">
      <w:pPr>
        <w:pStyle w:val="PL"/>
      </w:pPr>
      <w:r w:rsidRPr="009D024D">
        <w:t>HARQ-Config ::=</w:t>
      </w:r>
      <w:r w:rsidRPr="009D024D">
        <w:tab/>
      </w:r>
      <w:r w:rsidRPr="00B83705">
        <w:t>SEQUENCE</w:t>
      </w:r>
      <w:r w:rsidRPr="009D024D">
        <w:t xml:space="preserve"> {</w:t>
      </w:r>
    </w:p>
    <w:p w14:paraId="1FB75E37" w14:textId="2C039971" w:rsidR="00A56A7D" w:rsidRDefault="00355531" w:rsidP="00B83705">
      <w:pPr>
        <w:pStyle w:val="PL"/>
      </w:pPr>
      <w:r w:rsidRPr="009D024D">
        <w:rPr>
          <w:sz w:val="20"/>
        </w:rPr>
        <w:tab/>
      </w:r>
      <w:r w:rsidR="00A56A7D">
        <w:t xml:space="preserve">-- </w:t>
      </w:r>
      <w:r w:rsidR="00A56A7D">
        <w:rPr>
          <w:highlight w:val="yellow"/>
        </w:rPr>
        <w:t>FFS</w:t>
      </w:r>
      <w:r w:rsidR="00A56A7D">
        <w:t>: Is this timing information applicable to the entire PDCCH or could it be different per CORESET?</w:t>
      </w:r>
    </w:p>
    <w:p w14:paraId="58A63580" w14:textId="77777777" w:rsidR="00A56A7D" w:rsidRDefault="00A56A7D" w:rsidP="00B83705">
      <w:pPr>
        <w:pStyle w:val="PL"/>
      </w:pPr>
      <w:r>
        <w:t xml:space="preserve">    -- </w:t>
      </w:r>
      <w:r>
        <w:rPr>
          <w:highlight w:val="yellow"/>
        </w:rPr>
        <w:t>FFS</w:t>
      </w:r>
      <w:r>
        <w:t>: Is there a default timing (to be used at least until first reconfiguration). Are the fields optionally present?</w:t>
      </w:r>
    </w:p>
    <w:p w14:paraId="7B5F6150" w14:textId="6DC47034" w:rsidR="00A56A7D" w:rsidRDefault="00A56A7D" w:rsidP="00B83705">
      <w:pPr>
        <w:pStyle w:val="PL"/>
      </w:pPr>
      <w:r>
        <w:t xml:space="preserve">    </w:t>
      </w:r>
      <w:r w:rsidR="00B35361">
        <w:t>timing  </w:t>
      </w:r>
      <w:r>
        <w:rPr>
          <w:color w:val="993366"/>
        </w:rPr>
        <w:t>SEQUENCE</w:t>
      </w:r>
      <w:r>
        <w:t xml:space="preserve"> {</w:t>
      </w:r>
    </w:p>
    <w:p w14:paraId="152536E5" w14:textId="46C8F428" w:rsidR="00A56A7D" w:rsidRDefault="00A56A7D" w:rsidP="00B83705">
      <w:pPr>
        <w:pStyle w:val="PL"/>
      </w:pPr>
      <w:r>
        <w:t>        dl-assignment-to-DL-data        Dl-assignement-to-DL-dataList,</w:t>
      </w:r>
    </w:p>
    <w:p w14:paraId="4FB7BA58" w14:textId="00D55BE7" w:rsidR="00A56A7D" w:rsidRDefault="00A56A7D" w:rsidP="00B83705">
      <w:pPr>
        <w:pStyle w:val="PL"/>
      </w:pPr>
      <w:r>
        <w:t>        ul-assignment-to-UL-data        Ul-assignment-to-UL-dataList,</w:t>
      </w:r>
    </w:p>
    <w:p w14:paraId="5674A2ED" w14:textId="77777777" w:rsidR="00A56A7D" w:rsidRDefault="00A56A7D" w:rsidP="00B83705">
      <w:pPr>
        <w:pStyle w:val="PL"/>
      </w:pPr>
      <w:r>
        <w:t>        dl-data-to-UL-ACK               Dl-data-to-UL-ACKList</w:t>
      </w:r>
    </w:p>
    <w:p w14:paraId="539B3996" w14:textId="7568C188" w:rsidR="00A56A7D" w:rsidRDefault="00B83705" w:rsidP="00B83705">
      <w:pPr>
        <w:pStyle w:val="PL"/>
      </w:pPr>
      <w:r>
        <w:tab/>
      </w:r>
      <w:r w:rsidR="00A56A7D">
        <w:t>}</w:t>
      </w:r>
    </w:p>
    <w:p w14:paraId="04FD0105" w14:textId="77777777" w:rsidR="00A56A7D" w:rsidRDefault="00A56A7D" w:rsidP="00B83705">
      <w:pPr>
        <w:pStyle w:val="PL"/>
      </w:pPr>
    </w:p>
    <w:p w14:paraId="791CC1E7" w14:textId="77777777" w:rsidR="00A56A7D" w:rsidRDefault="00A56A7D" w:rsidP="00B83705">
      <w:pPr>
        <w:pStyle w:val="PL"/>
      </w:pPr>
      <w:r>
        <w:t>Dl-assignment-to-DL-dataList ::= SEQUENCE (SIZE (1..8)) OF Dl-assignment-to-DL-dataInfo</w:t>
      </w:r>
    </w:p>
    <w:p w14:paraId="5F47B7BF" w14:textId="77777777" w:rsidR="00A56A7D" w:rsidRDefault="00A56A7D" w:rsidP="00B83705">
      <w:pPr>
        <w:pStyle w:val="PL"/>
      </w:pPr>
    </w:p>
    <w:p w14:paraId="5D610BE7" w14:textId="0DB6CEDB" w:rsidR="00A56A7D" w:rsidRDefault="00A56A7D" w:rsidP="00B83705">
      <w:pPr>
        <w:pStyle w:val="PL"/>
      </w:pPr>
      <w:r>
        <w:t xml:space="preserve">Dl-assignment-to-DL-dataInfo ::= ENUMERATED {x0, x1, x2, </w:t>
      </w:r>
      <w:r w:rsidR="00142084">
        <w:t xml:space="preserve">..., </w:t>
      </w:r>
      <w:r>
        <w:t xml:space="preserve">xn} –- </w:t>
      </w:r>
      <w:r>
        <w:rPr>
          <w:highlight w:val="yellow"/>
        </w:rPr>
        <w:t>FFS Values from RAN1</w:t>
      </w:r>
    </w:p>
    <w:p w14:paraId="6F127DDF" w14:textId="77777777" w:rsidR="00A56A7D" w:rsidRDefault="00A56A7D" w:rsidP="00B83705">
      <w:pPr>
        <w:pStyle w:val="PL"/>
      </w:pPr>
    </w:p>
    <w:p w14:paraId="3373D5DD" w14:textId="77777777" w:rsidR="00A56A7D" w:rsidRDefault="00A56A7D" w:rsidP="00B83705">
      <w:pPr>
        <w:pStyle w:val="PL"/>
      </w:pPr>
      <w:r>
        <w:t>Ul-assignment-to-UL-dataList ::= SEQUENCE (SIZE (1..8)) OF Ul-assignment-to-UL-dataInfo</w:t>
      </w:r>
    </w:p>
    <w:p w14:paraId="7DE050E1" w14:textId="77777777" w:rsidR="00A56A7D" w:rsidRDefault="00A56A7D" w:rsidP="00B83705">
      <w:pPr>
        <w:pStyle w:val="PL"/>
      </w:pPr>
    </w:p>
    <w:p w14:paraId="218BC086" w14:textId="2F101464" w:rsidR="00A56A7D" w:rsidRDefault="00A56A7D" w:rsidP="00B83705">
      <w:pPr>
        <w:pStyle w:val="PL"/>
      </w:pPr>
      <w:r>
        <w:t>Ul-assignment-to-UL-dataInfo ::= ENUMERATED {y0, y1, y2,</w:t>
      </w:r>
      <w:r w:rsidR="00142084">
        <w:t xml:space="preserve"> ...,</w:t>
      </w:r>
      <w:r>
        <w:t xml:space="preserve"> y</w:t>
      </w:r>
      <w:r w:rsidR="00B35361">
        <w:t>m</w:t>
      </w:r>
      <w:r>
        <w:t xml:space="preserve">} –- </w:t>
      </w:r>
      <w:r>
        <w:rPr>
          <w:highlight w:val="yellow"/>
        </w:rPr>
        <w:t>FFS Values from RAN1</w:t>
      </w:r>
    </w:p>
    <w:p w14:paraId="0965A708" w14:textId="77777777" w:rsidR="00A56A7D" w:rsidRDefault="00A56A7D" w:rsidP="00B83705">
      <w:pPr>
        <w:pStyle w:val="PL"/>
      </w:pPr>
    </w:p>
    <w:p w14:paraId="1BC582EC" w14:textId="77777777" w:rsidR="00A56A7D" w:rsidRDefault="00A56A7D" w:rsidP="00B83705">
      <w:pPr>
        <w:pStyle w:val="PL"/>
      </w:pPr>
      <w:r>
        <w:t>Dl-data-to-UL-ACKList ::= SEQUENCE (SIZE (1..8)) OF Dl-data-to-UL-ACKInfo</w:t>
      </w:r>
    </w:p>
    <w:p w14:paraId="033C673D" w14:textId="77777777" w:rsidR="00A56A7D" w:rsidRDefault="00A56A7D" w:rsidP="00B83705">
      <w:pPr>
        <w:pStyle w:val="PL"/>
      </w:pPr>
    </w:p>
    <w:p w14:paraId="3F5137EC" w14:textId="5212B353" w:rsidR="00A56A7D" w:rsidRDefault="00A56A7D" w:rsidP="00B83705">
      <w:pPr>
        <w:pStyle w:val="PL"/>
      </w:pPr>
      <w:r>
        <w:t>Dl-data-to-UL-ACKInfo ::= ENUMERATED {z0, z1, z2,</w:t>
      </w:r>
      <w:r w:rsidR="00142084">
        <w:t xml:space="preserve"> ...,</w:t>
      </w:r>
      <w:r>
        <w:t xml:space="preserve"> z</w:t>
      </w:r>
      <w:r w:rsidR="00B35361">
        <w:t>k</w:t>
      </w:r>
      <w:r>
        <w:t xml:space="preserve">} –- </w:t>
      </w:r>
      <w:r>
        <w:rPr>
          <w:highlight w:val="yellow"/>
        </w:rPr>
        <w:t>FFS Values from RAN1</w:t>
      </w:r>
    </w:p>
    <w:p w14:paraId="4F799658" w14:textId="77777777" w:rsidR="00B83705" w:rsidRPr="00B83705" w:rsidRDefault="00B83705" w:rsidP="00B83705">
      <w:pPr>
        <w:pStyle w:val="PL"/>
      </w:pPr>
    </w:p>
    <w:p w14:paraId="4858EBF0" w14:textId="5C0F1472" w:rsidR="00355531" w:rsidRPr="009D024D" w:rsidRDefault="00355531" w:rsidP="00B83705">
      <w:pPr>
        <w:pStyle w:val="PL"/>
      </w:pPr>
      <w:r w:rsidRPr="009D024D">
        <w:t>}</w:t>
      </w:r>
    </w:p>
    <w:p w14:paraId="1BD23AB9" w14:textId="661FB704" w:rsidR="00355531" w:rsidRPr="00B83705" w:rsidRDefault="00355531" w:rsidP="009D024D">
      <w:pPr>
        <w:pStyle w:val="BodyText"/>
        <w:rPr>
          <w:lang w:val="en-US"/>
        </w:rPr>
      </w:pPr>
    </w:p>
    <w:p w14:paraId="66097803" w14:textId="576FC275" w:rsidR="008B3385" w:rsidRDefault="008B3385" w:rsidP="008B3385">
      <w:pPr>
        <w:pStyle w:val="Proposal"/>
      </w:pPr>
      <w:bookmarkStart w:id="51" w:name="_Toc481678355"/>
      <w:bookmarkStart w:id="52" w:name="_Toc492469977"/>
      <w:bookmarkStart w:id="53" w:name="_Toc492470008"/>
      <w:bookmarkStart w:id="54" w:name="_Toc492472286"/>
      <w:bookmarkStart w:id="55" w:name="_Toc493843782"/>
      <w:bookmarkStart w:id="56" w:name="_Toc493843978"/>
      <w:bookmarkStart w:id="57" w:name="_Toc494297557"/>
      <w:bookmarkStart w:id="58" w:name="_Toc494358806"/>
      <w:bookmarkStart w:id="59" w:name="_Toc490074410"/>
      <w:bookmarkStart w:id="60" w:name="_Toc494383239"/>
      <w:bookmarkStart w:id="61" w:name="_Toc481144062"/>
      <w:bookmarkStart w:id="62" w:name="_Toc481674484"/>
      <w:bookmarkStart w:id="63" w:name="_Toc494411354"/>
      <w:r w:rsidRPr="008B3385">
        <w:t>RRC is used to configure a set of values for each HARQ delay parameter (K0, N1, N2)</w:t>
      </w:r>
      <w:r w:rsidR="002F62D9">
        <w:t>.</w:t>
      </w:r>
      <w:bookmarkEnd w:id="51"/>
      <w:bookmarkEnd w:id="52"/>
      <w:bookmarkEnd w:id="53"/>
      <w:bookmarkEnd w:id="54"/>
      <w:bookmarkEnd w:id="55"/>
      <w:bookmarkEnd w:id="56"/>
      <w:bookmarkEnd w:id="57"/>
      <w:bookmarkEnd w:id="58"/>
      <w:bookmarkEnd w:id="63"/>
      <w:r w:rsidRPr="008B3385">
        <w:t xml:space="preserve"> </w:t>
      </w:r>
      <w:bookmarkEnd w:id="59"/>
      <w:bookmarkEnd w:id="60"/>
    </w:p>
    <w:p w14:paraId="6F1B4305" w14:textId="735B7070" w:rsidR="00872CA4" w:rsidRPr="008B3385" w:rsidRDefault="00872CA4" w:rsidP="008B3385">
      <w:pPr>
        <w:pStyle w:val="Proposal"/>
      </w:pPr>
      <w:bookmarkStart w:id="64" w:name="_Toc493843783"/>
      <w:bookmarkStart w:id="65" w:name="_Toc493843979"/>
      <w:bookmarkStart w:id="66" w:name="_Toc494297558"/>
      <w:bookmarkStart w:id="67" w:name="_Toc494358807"/>
      <w:bookmarkStart w:id="68" w:name="_Toc494383240"/>
      <w:bookmarkStart w:id="69" w:name="_Toc494411355"/>
      <w:r>
        <w:t>The candidate values for each H</w:t>
      </w:r>
      <w:r w:rsidR="00B51380">
        <w:t>A</w:t>
      </w:r>
      <w:r>
        <w:t>RQ delay parameter depends on the input from RAN1</w:t>
      </w:r>
      <w:bookmarkEnd w:id="64"/>
      <w:bookmarkEnd w:id="65"/>
      <w:bookmarkEnd w:id="66"/>
      <w:bookmarkEnd w:id="67"/>
      <w:bookmarkEnd w:id="68"/>
      <w:r w:rsidR="00142084">
        <w:t>.</w:t>
      </w:r>
      <w:bookmarkEnd w:id="69"/>
    </w:p>
    <w:bookmarkEnd w:id="61"/>
    <w:bookmarkEnd w:id="62"/>
    <w:p w14:paraId="06A07801" w14:textId="662943FA" w:rsidR="00D624CE" w:rsidRDefault="00355531" w:rsidP="008B3385">
      <w:pPr>
        <w:rPr>
          <w:lang w:val="en-US"/>
        </w:rPr>
      </w:pPr>
      <w:r>
        <w:rPr>
          <w:lang w:val="en-US"/>
        </w:rPr>
        <w:t>In case of carrier aggregation, different carriers can be configured with different numerologies</w:t>
      </w:r>
      <w:r w:rsidR="001E5CCF">
        <w:rPr>
          <w:lang w:val="en-US"/>
        </w:rPr>
        <w:t>, and different numerology may have different processing delays in number of slots or OFDM symbols</w:t>
      </w:r>
      <w:r w:rsidR="004C3402">
        <w:rPr>
          <w:lang w:val="en-US"/>
        </w:rPr>
        <w:t xml:space="preserve"> cons</w:t>
      </w:r>
      <w:r w:rsidR="001E5CCF">
        <w:rPr>
          <w:lang w:val="en-US"/>
        </w:rPr>
        <w:t>i</w:t>
      </w:r>
      <w:r w:rsidR="004C3402">
        <w:rPr>
          <w:lang w:val="en-US"/>
        </w:rPr>
        <w:t>d</w:t>
      </w:r>
      <w:r w:rsidR="001E5CCF">
        <w:rPr>
          <w:lang w:val="en-US"/>
        </w:rPr>
        <w:t>ering</w:t>
      </w:r>
      <w:r w:rsidR="00EC1207">
        <w:rPr>
          <w:lang w:val="en-US"/>
        </w:rPr>
        <w:t xml:space="preserve"> </w:t>
      </w:r>
      <w:r w:rsidR="001E5CCF">
        <w:rPr>
          <w:lang w:val="en-US"/>
        </w:rPr>
        <w:t>the OFDM symbol / slot length</w:t>
      </w:r>
      <w:r w:rsidR="008B7BF0">
        <w:rPr>
          <w:lang w:val="en-US"/>
        </w:rPr>
        <w:t xml:space="preserve"> is different for different numerologies</w:t>
      </w:r>
      <w:r w:rsidR="001E5CCF">
        <w:rPr>
          <w:lang w:val="en-US"/>
        </w:rPr>
        <w:t xml:space="preserve">. Hence, </w:t>
      </w:r>
      <w:r w:rsidR="00EC1207">
        <w:rPr>
          <w:lang w:val="en-US"/>
        </w:rPr>
        <w:t>it seems not feasible that the same HARQ</w:t>
      </w:r>
      <w:r w:rsidR="008B7BF0">
        <w:rPr>
          <w:lang w:val="en-US"/>
        </w:rPr>
        <w:t xml:space="preserve"> delay parameter</w:t>
      </w:r>
      <w:r w:rsidR="00EC1207">
        <w:rPr>
          <w:lang w:val="en-US"/>
        </w:rPr>
        <w:t xml:space="preserve"> configuration can be always feasible for carriers of different numerologies. </w:t>
      </w:r>
    </w:p>
    <w:p w14:paraId="6EDABA3A" w14:textId="0C0F1715" w:rsidR="00EC1207" w:rsidRPr="00B83705" w:rsidRDefault="002F45CF" w:rsidP="00B83705">
      <w:pPr>
        <w:pStyle w:val="Proposal"/>
      </w:pPr>
      <w:bookmarkStart w:id="70" w:name="_Toc493843980"/>
      <w:bookmarkStart w:id="71" w:name="_Toc492472287"/>
      <w:bookmarkStart w:id="72" w:name="_Toc493843784"/>
      <w:bookmarkStart w:id="73" w:name="_Toc494297559"/>
      <w:bookmarkStart w:id="74" w:name="_Toc494358808"/>
      <w:bookmarkStart w:id="75" w:name="_Toc494383241"/>
      <w:bookmarkStart w:id="76" w:name="_Toc494411356"/>
      <w:r>
        <w:t>The HARQ delay parameters are configured per serving cell.</w:t>
      </w:r>
      <w:bookmarkEnd w:id="70"/>
      <w:bookmarkEnd w:id="76"/>
      <w:r w:rsidR="00D624CE" w:rsidRPr="00B83705">
        <w:t xml:space="preserve"> </w:t>
      </w:r>
      <w:bookmarkEnd w:id="71"/>
      <w:bookmarkEnd w:id="72"/>
      <w:bookmarkEnd w:id="73"/>
      <w:bookmarkEnd w:id="74"/>
      <w:bookmarkEnd w:id="75"/>
    </w:p>
    <w:p w14:paraId="39EACF36" w14:textId="77777777" w:rsidR="00C01F33" w:rsidRPr="00CE0424" w:rsidRDefault="00C01F33" w:rsidP="00CE0424">
      <w:pPr>
        <w:pStyle w:val="Heading1"/>
      </w:pPr>
      <w:r w:rsidRPr="00CE0424">
        <w:t>Conclusion</w:t>
      </w:r>
    </w:p>
    <w:p w14:paraId="5697B8B6" w14:textId="43687A54" w:rsidR="00BB0A1D" w:rsidRDefault="008E065E" w:rsidP="00142084">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50AD4">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1513287207"/>
        <w:docPartObj>
          <w:docPartGallery w:val="Table of Contents"/>
          <w:docPartUnique/>
        </w:docPartObj>
      </w:sdtPr>
      <w:sdtEndPr>
        <w:rPr>
          <w:b/>
        </w:rPr>
      </w:sdtEndPr>
      <w:sdtContent>
        <w:p w14:paraId="01905F5A" w14:textId="77777777" w:rsidR="00CD7630" w:rsidRDefault="0014208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4411346" w:history="1">
            <w:r w:rsidR="00CD7630" w:rsidRPr="00015312">
              <w:rPr>
                <w:rStyle w:val="Hyperlink"/>
              </w:rPr>
              <w:t>Observation 1</w:t>
            </w:r>
            <w:r w:rsidR="00CD7630">
              <w:rPr>
                <w:rFonts w:asciiTheme="minorHAnsi" w:eastAsiaTheme="minorEastAsia" w:hAnsiTheme="minorHAnsi" w:cstheme="minorBidi"/>
                <w:b w:val="0"/>
                <w:sz w:val="22"/>
                <w:lang w:val="sv-SE"/>
              </w:rPr>
              <w:tab/>
            </w:r>
            <w:r w:rsidR="00CD7630" w:rsidRPr="00015312">
              <w:rPr>
                <w:rStyle w:val="Hyperlink"/>
              </w:rPr>
              <w:t>Dynamic HARQ timing is allowed in NR.</w:t>
            </w:r>
          </w:hyperlink>
        </w:p>
        <w:p w14:paraId="1AA6BA84" w14:textId="77777777" w:rsidR="00CD7630" w:rsidRDefault="00CD7630">
          <w:pPr>
            <w:pStyle w:val="TOC1"/>
            <w:rPr>
              <w:rFonts w:asciiTheme="minorHAnsi" w:eastAsiaTheme="minorEastAsia" w:hAnsiTheme="minorHAnsi" w:cstheme="minorBidi"/>
              <w:b w:val="0"/>
              <w:sz w:val="22"/>
              <w:lang w:val="sv-SE"/>
            </w:rPr>
          </w:pPr>
          <w:hyperlink w:anchor="_Toc494411347" w:history="1">
            <w:r w:rsidRPr="00015312">
              <w:rPr>
                <w:rStyle w:val="Hyperlink"/>
              </w:rPr>
              <w:t>Observation 2</w:t>
            </w:r>
            <w:r>
              <w:rPr>
                <w:rFonts w:asciiTheme="minorHAnsi" w:eastAsiaTheme="minorEastAsia" w:hAnsiTheme="minorHAnsi" w:cstheme="minorBidi"/>
                <w:b w:val="0"/>
                <w:sz w:val="22"/>
                <w:lang w:val="sv-SE"/>
              </w:rPr>
              <w:tab/>
            </w:r>
            <w:r w:rsidRPr="00015312">
              <w:rPr>
                <w:rStyle w:val="Hyperlink"/>
              </w:rPr>
              <w:t>Different UEs may have different processing delay capability in NR.</w:t>
            </w:r>
          </w:hyperlink>
        </w:p>
        <w:p w14:paraId="094E23FD" w14:textId="77777777" w:rsidR="00CD7630" w:rsidRDefault="00CD7630">
          <w:pPr>
            <w:pStyle w:val="TOC1"/>
            <w:rPr>
              <w:rFonts w:asciiTheme="minorHAnsi" w:eastAsiaTheme="minorEastAsia" w:hAnsiTheme="minorHAnsi" w:cstheme="minorBidi"/>
              <w:b w:val="0"/>
              <w:sz w:val="22"/>
              <w:lang w:val="sv-SE"/>
            </w:rPr>
          </w:pPr>
          <w:hyperlink w:anchor="_Toc494411348" w:history="1">
            <w:r w:rsidRPr="00015312">
              <w:rPr>
                <w:rStyle w:val="Hyperlink"/>
              </w:rPr>
              <w:t>Observation 3</w:t>
            </w:r>
            <w:r>
              <w:rPr>
                <w:rFonts w:asciiTheme="minorHAnsi" w:eastAsiaTheme="minorEastAsia" w:hAnsiTheme="minorHAnsi" w:cstheme="minorBidi"/>
                <w:b w:val="0"/>
                <w:sz w:val="22"/>
                <w:lang w:val="sv-SE"/>
              </w:rPr>
              <w:tab/>
            </w:r>
            <w:r w:rsidRPr="00015312">
              <w:rPr>
                <w:rStyle w:val="Hyperlink"/>
              </w:rPr>
              <w:t>RAN1 will investigate UE processing time using new parameters N1 (in OFDM symbol) and N2 (in OFDM symbol) instead of K1 (in slot) and K2 (in slot).</w:t>
            </w:r>
          </w:hyperlink>
        </w:p>
        <w:p w14:paraId="15C74B36" w14:textId="77777777" w:rsidR="00CD7630" w:rsidRDefault="00CD7630">
          <w:pPr>
            <w:pStyle w:val="TOC1"/>
            <w:rPr>
              <w:rFonts w:asciiTheme="minorHAnsi" w:eastAsiaTheme="minorEastAsia" w:hAnsiTheme="minorHAnsi" w:cstheme="minorBidi"/>
              <w:b w:val="0"/>
              <w:sz w:val="22"/>
              <w:lang w:val="sv-SE"/>
            </w:rPr>
          </w:pPr>
          <w:hyperlink w:anchor="_Toc494411349" w:history="1">
            <w:r w:rsidRPr="00015312">
              <w:rPr>
                <w:rStyle w:val="Hyperlink"/>
              </w:rPr>
              <w:t>Observation 4</w:t>
            </w:r>
            <w:r>
              <w:rPr>
                <w:rFonts w:asciiTheme="minorHAnsi" w:eastAsiaTheme="minorEastAsia" w:hAnsiTheme="minorHAnsi" w:cstheme="minorBidi"/>
                <w:b w:val="0"/>
                <w:sz w:val="22"/>
                <w:lang w:val="sv-SE"/>
              </w:rPr>
              <w:tab/>
            </w:r>
            <w:r w:rsidRPr="00015312">
              <w:rPr>
                <w:rStyle w:val="Hyperlink"/>
              </w:rPr>
              <w:t>Adaptation of K0 facilitate dynamic operation bandwidth adaptation of a UE.</w:t>
            </w:r>
          </w:hyperlink>
        </w:p>
        <w:p w14:paraId="199D0B7B" w14:textId="77777777" w:rsidR="00CD7630" w:rsidRDefault="00CD7630">
          <w:pPr>
            <w:pStyle w:val="TOC1"/>
            <w:rPr>
              <w:rFonts w:asciiTheme="minorHAnsi" w:eastAsiaTheme="minorEastAsia" w:hAnsiTheme="minorHAnsi" w:cstheme="minorBidi"/>
              <w:b w:val="0"/>
              <w:sz w:val="22"/>
              <w:lang w:val="sv-SE"/>
            </w:rPr>
          </w:pPr>
          <w:hyperlink w:anchor="_Toc494411350" w:history="1">
            <w:r w:rsidRPr="00015312">
              <w:rPr>
                <w:rStyle w:val="Hyperlink"/>
              </w:rPr>
              <w:t>Observation 5</w:t>
            </w:r>
            <w:r>
              <w:rPr>
                <w:rFonts w:asciiTheme="minorHAnsi" w:eastAsiaTheme="minorEastAsia" w:hAnsiTheme="minorHAnsi" w:cstheme="minorBidi"/>
                <w:b w:val="0"/>
                <w:sz w:val="22"/>
                <w:lang w:val="sv-SE"/>
              </w:rPr>
              <w:tab/>
            </w:r>
            <w:r w:rsidRPr="00015312">
              <w:rPr>
                <w:rStyle w:val="Hyperlink"/>
              </w:rPr>
              <w:t>Adaptation of N1 and N2 enables quick configuration of short transmission delay.</w:t>
            </w:r>
          </w:hyperlink>
        </w:p>
        <w:p w14:paraId="38CE3A00" w14:textId="77777777" w:rsidR="00CD7630" w:rsidRDefault="00CD7630">
          <w:pPr>
            <w:pStyle w:val="TOC1"/>
            <w:rPr>
              <w:rFonts w:asciiTheme="minorHAnsi" w:eastAsiaTheme="minorEastAsia" w:hAnsiTheme="minorHAnsi" w:cstheme="minorBidi"/>
              <w:b w:val="0"/>
              <w:sz w:val="22"/>
              <w:lang w:val="sv-SE"/>
            </w:rPr>
          </w:pPr>
          <w:hyperlink w:anchor="_Toc494411351" w:history="1">
            <w:r w:rsidRPr="00015312">
              <w:rPr>
                <w:rStyle w:val="Hyperlink"/>
              </w:rPr>
              <w:t>Observation 6</w:t>
            </w:r>
            <w:r>
              <w:rPr>
                <w:rFonts w:asciiTheme="minorHAnsi" w:eastAsiaTheme="minorEastAsia" w:hAnsiTheme="minorHAnsi" w:cstheme="minorBidi"/>
                <w:b w:val="0"/>
                <w:sz w:val="22"/>
                <w:lang w:val="sv-SE"/>
              </w:rPr>
              <w:tab/>
            </w:r>
            <w:r w:rsidRPr="00015312">
              <w:rPr>
                <w:rStyle w:val="Hyperlink"/>
              </w:rPr>
              <w:t>Adaptation of N1 and N2 can reduce the UL/DL switching overhead at dynamic TDD operation.</w:t>
            </w:r>
          </w:hyperlink>
        </w:p>
        <w:p w14:paraId="5A93D8B2" w14:textId="77777777" w:rsidR="00CD7630" w:rsidRDefault="00CD7630">
          <w:pPr>
            <w:pStyle w:val="TOC1"/>
            <w:rPr>
              <w:rFonts w:asciiTheme="minorHAnsi" w:eastAsiaTheme="minorEastAsia" w:hAnsiTheme="minorHAnsi" w:cstheme="minorBidi"/>
              <w:b w:val="0"/>
              <w:sz w:val="22"/>
              <w:lang w:val="sv-SE"/>
            </w:rPr>
          </w:pPr>
          <w:hyperlink w:anchor="_Toc494411352" w:history="1">
            <w:r w:rsidRPr="00015312">
              <w:rPr>
                <w:rStyle w:val="Hyperlink"/>
              </w:rPr>
              <w:t>Observation 7</w:t>
            </w:r>
            <w:r>
              <w:rPr>
                <w:rFonts w:asciiTheme="minorHAnsi" w:eastAsiaTheme="minorEastAsia" w:hAnsiTheme="minorHAnsi" w:cstheme="minorBidi"/>
                <w:b w:val="0"/>
                <w:sz w:val="22"/>
                <w:lang w:val="sv-SE"/>
              </w:rPr>
              <w:tab/>
            </w:r>
            <w:r w:rsidRPr="00015312">
              <w:rPr>
                <w:rStyle w:val="Hyperlink"/>
              </w:rPr>
              <w:t>It is not necessary to configure K3 with explicit signalling.</w:t>
            </w:r>
          </w:hyperlink>
        </w:p>
        <w:p w14:paraId="74ECF9C8" w14:textId="77777777" w:rsidR="00CD7630" w:rsidRDefault="00CD7630">
          <w:pPr>
            <w:pStyle w:val="TOC1"/>
            <w:rPr>
              <w:rFonts w:asciiTheme="minorHAnsi" w:eastAsiaTheme="minorEastAsia" w:hAnsiTheme="minorHAnsi" w:cstheme="minorBidi"/>
              <w:b w:val="0"/>
              <w:sz w:val="22"/>
              <w:lang w:val="sv-SE"/>
            </w:rPr>
          </w:pPr>
          <w:hyperlink w:anchor="_Toc494411353" w:history="1">
            <w:r w:rsidRPr="00015312">
              <w:rPr>
                <w:rStyle w:val="Hyperlink"/>
              </w:rPr>
              <w:t>Observation 8</w:t>
            </w:r>
            <w:r>
              <w:rPr>
                <w:rFonts w:asciiTheme="minorHAnsi" w:eastAsiaTheme="minorEastAsia" w:hAnsiTheme="minorHAnsi" w:cstheme="minorBidi"/>
                <w:b w:val="0"/>
                <w:sz w:val="22"/>
                <w:lang w:val="sv-SE"/>
              </w:rPr>
              <w:tab/>
            </w:r>
            <w:r w:rsidRPr="00015312">
              <w:rPr>
                <w:rStyle w:val="Hyperlink"/>
              </w:rPr>
              <w:t>Good flexibility and future compatibility can be achieved to preconfigure candidate values for a HARQ delay parameter (K0, N1 and N2) via RRC</w:t>
            </w:r>
          </w:hyperlink>
        </w:p>
        <w:p w14:paraId="543CB9DD" w14:textId="6F21DFB7" w:rsidR="00142084" w:rsidRDefault="00142084" w:rsidP="00C820BE">
          <w:pPr>
            <w:pStyle w:val="BodyText"/>
          </w:pPr>
          <w:r>
            <w:rPr>
              <w:b/>
            </w:rPr>
            <w:fldChar w:fldCharType="end"/>
          </w:r>
        </w:p>
      </w:sdtContent>
    </w:sdt>
    <w:p w14:paraId="34444DBB" w14:textId="6F1ADAF5" w:rsidR="00D624CE" w:rsidRDefault="008E065E" w:rsidP="00C820B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50AD4">
        <w:t>2</w:t>
      </w:r>
      <w:r w:rsidRPr="00CE0424">
        <w:rPr>
          <w:highlight w:val="cyan"/>
        </w:rPr>
        <w:fldChar w:fldCharType="end"/>
      </w:r>
      <w:r w:rsidRPr="00CE0424">
        <w:t xml:space="preserve"> we propose the following:</w:t>
      </w:r>
    </w:p>
    <w:sdt>
      <w:sdtPr>
        <w:rPr>
          <w:b w:val="0"/>
          <w:noProof w:val="0"/>
          <w:szCs w:val="20"/>
          <w:lang w:val="en-GB"/>
        </w:rPr>
        <w:id w:val="1394310626"/>
        <w:docPartObj>
          <w:docPartGallery w:val="Table of Contents"/>
          <w:docPartUnique/>
        </w:docPartObj>
      </w:sdtPr>
      <w:sdtEndPr>
        <w:rPr>
          <w:b/>
        </w:rPr>
      </w:sdtEndPr>
      <w:sdtContent>
        <w:bookmarkStart w:id="77" w:name="_GoBack" w:displacedByCustomXml="prev"/>
        <w:bookmarkEnd w:id="77" w:displacedByCustomXml="prev"/>
        <w:p w14:paraId="348ECC0D" w14:textId="77777777" w:rsidR="00CD7630" w:rsidRDefault="0014208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411354" w:history="1">
            <w:r w:rsidR="00CD7630" w:rsidRPr="003E543B">
              <w:rPr>
                <w:rStyle w:val="Hyperlink"/>
              </w:rPr>
              <w:t>Proposal 1</w:t>
            </w:r>
            <w:r w:rsidR="00CD7630">
              <w:rPr>
                <w:rFonts w:asciiTheme="minorHAnsi" w:eastAsiaTheme="minorEastAsia" w:hAnsiTheme="minorHAnsi" w:cstheme="minorBidi"/>
                <w:b w:val="0"/>
                <w:sz w:val="22"/>
                <w:lang w:val="sv-SE"/>
              </w:rPr>
              <w:tab/>
            </w:r>
            <w:r w:rsidR="00CD7630" w:rsidRPr="003E543B">
              <w:rPr>
                <w:rStyle w:val="Hyperlink"/>
              </w:rPr>
              <w:t>RRC is used to configure a set of values for each HARQ delay parameter (K0, N1, N2).</w:t>
            </w:r>
          </w:hyperlink>
        </w:p>
        <w:p w14:paraId="6536CDE3" w14:textId="77777777" w:rsidR="00CD7630" w:rsidRDefault="00CD7630">
          <w:pPr>
            <w:pStyle w:val="TOC1"/>
            <w:rPr>
              <w:rFonts w:asciiTheme="minorHAnsi" w:eastAsiaTheme="minorEastAsia" w:hAnsiTheme="minorHAnsi" w:cstheme="minorBidi"/>
              <w:b w:val="0"/>
              <w:sz w:val="22"/>
              <w:lang w:val="sv-SE"/>
            </w:rPr>
          </w:pPr>
          <w:hyperlink w:anchor="_Toc494411355" w:history="1">
            <w:r w:rsidRPr="003E543B">
              <w:rPr>
                <w:rStyle w:val="Hyperlink"/>
              </w:rPr>
              <w:t>Proposal 2</w:t>
            </w:r>
            <w:r>
              <w:rPr>
                <w:rFonts w:asciiTheme="minorHAnsi" w:eastAsiaTheme="minorEastAsia" w:hAnsiTheme="minorHAnsi" w:cstheme="minorBidi"/>
                <w:b w:val="0"/>
                <w:sz w:val="22"/>
                <w:lang w:val="sv-SE"/>
              </w:rPr>
              <w:tab/>
            </w:r>
            <w:r w:rsidRPr="003E543B">
              <w:rPr>
                <w:rStyle w:val="Hyperlink"/>
              </w:rPr>
              <w:t>The candidate values for each HARQ delay parameter depends on the input from RAN1.</w:t>
            </w:r>
          </w:hyperlink>
        </w:p>
        <w:p w14:paraId="02855C07" w14:textId="77777777" w:rsidR="00CD7630" w:rsidRDefault="00CD7630">
          <w:pPr>
            <w:pStyle w:val="TOC1"/>
            <w:rPr>
              <w:rFonts w:asciiTheme="minorHAnsi" w:eastAsiaTheme="minorEastAsia" w:hAnsiTheme="minorHAnsi" w:cstheme="minorBidi"/>
              <w:b w:val="0"/>
              <w:sz w:val="22"/>
              <w:lang w:val="sv-SE"/>
            </w:rPr>
          </w:pPr>
          <w:hyperlink w:anchor="_Toc494411356" w:history="1">
            <w:r w:rsidRPr="003E543B">
              <w:rPr>
                <w:rStyle w:val="Hyperlink"/>
              </w:rPr>
              <w:t>Proposal 3</w:t>
            </w:r>
            <w:r>
              <w:rPr>
                <w:rFonts w:asciiTheme="minorHAnsi" w:eastAsiaTheme="minorEastAsia" w:hAnsiTheme="minorHAnsi" w:cstheme="minorBidi"/>
                <w:b w:val="0"/>
                <w:sz w:val="22"/>
                <w:lang w:val="sv-SE"/>
              </w:rPr>
              <w:tab/>
            </w:r>
            <w:r w:rsidRPr="003E543B">
              <w:rPr>
                <w:rStyle w:val="Hyperlink"/>
              </w:rPr>
              <w:t>The HARQ delay parameters are configured per serving cell.</w:t>
            </w:r>
          </w:hyperlink>
        </w:p>
        <w:p w14:paraId="744EDE6A" w14:textId="0D73F51B" w:rsidR="00142084" w:rsidRDefault="00142084" w:rsidP="00C820BE">
          <w:pPr>
            <w:pStyle w:val="BodyText"/>
          </w:pPr>
          <w:r>
            <w:rPr>
              <w:b/>
            </w:rPr>
            <w:fldChar w:fldCharType="end"/>
          </w:r>
        </w:p>
      </w:sdtContent>
    </w:sdt>
    <w:p w14:paraId="66715D26" w14:textId="77777777" w:rsidR="00F507D1" w:rsidRPr="00CE0424" w:rsidRDefault="00F507D1" w:rsidP="00CE0424">
      <w:pPr>
        <w:pStyle w:val="Heading1"/>
      </w:pPr>
      <w:bookmarkStart w:id="78" w:name="_In-sequence_SDU_delivery"/>
      <w:bookmarkEnd w:id="78"/>
      <w:r w:rsidRPr="00CE0424">
        <w:t>References</w:t>
      </w:r>
    </w:p>
    <w:p w14:paraId="60EDDCE2" w14:textId="77777777" w:rsidR="00C820BE" w:rsidRPr="00116AD0" w:rsidRDefault="00C820BE" w:rsidP="00C820BE">
      <w:pPr>
        <w:pStyle w:val="Reference"/>
        <w:rPr>
          <w:lang w:val="en-US"/>
        </w:rPr>
      </w:pPr>
      <w:bookmarkStart w:id="79" w:name="_Ref484591590"/>
      <w:r w:rsidRPr="00116AD0">
        <w:rPr>
          <w:lang w:val="en-US"/>
        </w:rPr>
        <w:t>Chairman notes, 3GPP TSG RAN WG1 Meeting #</w:t>
      </w:r>
      <w:r w:rsidRPr="00116AD0">
        <w:rPr>
          <w:rFonts w:eastAsia="MS Mincho"/>
          <w:lang w:val="en-US" w:eastAsia="ja-JP"/>
        </w:rPr>
        <w:t>86bis</w:t>
      </w:r>
      <w:bookmarkEnd w:id="79"/>
    </w:p>
    <w:p w14:paraId="203FC07E" w14:textId="77777777" w:rsidR="00C820BE" w:rsidRPr="00116AD0" w:rsidRDefault="00C820BE" w:rsidP="00C820BE">
      <w:pPr>
        <w:pStyle w:val="Reference"/>
        <w:rPr>
          <w:lang w:val="en-US"/>
        </w:rPr>
      </w:pPr>
      <w:bookmarkStart w:id="80" w:name="_Ref484417603"/>
      <w:r w:rsidRPr="00116AD0">
        <w:rPr>
          <w:lang w:val="en-US"/>
        </w:rPr>
        <w:t>Chairman notes, 3GPP TSG RAN WG1 Meeting #</w:t>
      </w:r>
      <w:r w:rsidRPr="00116AD0">
        <w:rPr>
          <w:rFonts w:eastAsia="MS Mincho"/>
          <w:lang w:val="en-US" w:eastAsia="ja-JP"/>
        </w:rPr>
        <w:t>87</w:t>
      </w:r>
      <w:bookmarkEnd w:id="80"/>
      <w:r w:rsidRPr="00116AD0">
        <w:rPr>
          <w:rFonts w:eastAsia="MS Mincho"/>
          <w:lang w:val="en-US" w:eastAsia="ja-JP"/>
        </w:rPr>
        <w:t xml:space="preserve"> </w:t>
      </w:r>
    </w:p>
    <w:p w14:paraId="48C854F3" w14:textId="4F6A4C33" w:rsidR="00C820BE" w:rsidRPr="00142084" w:rsidRDefault="00C820BE" w:rsidP="00C820BE">
      <w:pPr>
        <w:pStyle w:val="Reference"/>
        <w:rPr>
          <w:lang w:val="en-US"/>
        </w:rPr>
      </w:pPr>
      <w:bookmarkStart w:id="81" w:name="_Ref484417608"/>
      <w:r w:rsidRPr="00116AD0">
        <w:rPr>
          <w:lang w:val="en-US"/>
        </w:rPr>
        <w:t>Chairman notes, 3GPP TSG RAN WG1 Meeting #</w:t>
      </w:r>
      <w:r w:rsidRPr="00116AD0">
        <w:rPr>
          <w:rFonts w:eastAsia="MS Mincho"/>
          <w:lang w:val="en-US" w:eastAsia="ja-JP"/>
        </w:rPr>
        <w:t>89</w:t>
      </w:r>
      <w:bookmarkEnd w:id="81"/>
    </w:p>
    <w:p w14:paraId="45768454" w14:textId="428FFFB0" w:rsidR="0003036A" w:rsidRPr="00116AD0" w:rsidRDefault="0003036A" w:rsidP="0003036A">
      <w:pPr>
        <w:pStyle w:val="Reference"/>
        <w:rPr>
          <w:lang w:val="en-US"/>
        </w:rPr>
      </w:pPr>
      <w:bookmarkStart w:id="82" w:name="_Ref494114162"/>
      <w:r w:rsidRPr="00116AD0">
        <w:rPr>
          <w:lang w:val="en-US"/>
        </w:rPr>
        <w:t>Chairman n</w:t>
      </w:r>
      <w:r w:rsidR="00D643C6">
        <w:rPr>
          <w:lang w:val="en-US"/>
        </w:rPr>
        <w:t>otes, 3GPP TSG RAN WG1 Meeting AdHoc #3, 2017</w:t>
      </w:r>
      <w:bookmarkEnd w:id="82"/>
    </w:p>
    <w:p w14:paraId="3BFA295A" w14:textId="77777777" w:rsidR="0003036A" w:rsidRPr="00116AD0" w:rsidRDefault="0003036A" w:rsidP="00142084">
      <w:pPr>
        <w:pStyle w:val="Reference"/>
        <w:numPr>
          <w:ilvl w:val="0"/>
          <w:numId w:val="0"/>
        </w:numPr>
        <w:rPr>
          <w:lang w:val="en-US"/>
        </w:rPr>
      </w:pPr>
    </w:p>
    <w:p w14:paraId="02EB16E6" w14:textId="77777777" w:rsidR="003A7EF3" w:rsidRPr="00C820BE" w:rsidRDefault="003A7EF3" w:rsidP="00CE0424">
      <w:pPr>
        <w:pStyle w:val="BodyText"/>
        <w:rPr>
          <w:lang w:val="en-US"/>
        </w:rPr>
      </w:pPr>
    </w:p>
    <w:sectPr w:rsidR="003A7EF3" w:rsidRPr="00C820B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83BFB" w14:textId="77777777" w:rsidR="00CA1571" w:rsidRDefault="00CA1571">
      <w:r>
        <w:separator/>
      </w:r>
    </w:p>
  </w:endnote>
  <w:endnote w:type="continuationSeparator" w:id="0">
    <w:p w14:paraId="0535BF40" w14:textId="77777777" w:rsidR="00CA1571" w:rsidRDefault="00CA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32C70" w14:textId="77777777" w:rsidR="00CA1571" w:rsidRDefault="00CA1571">
      <w:r>
        <w:separator/>
      </w:r>
    </w:p>
  </w:footnote>
  <w:footnote w:type="continuationSeparator" w:id="0">
    <w:p w14:paraId="2F8E517F" w14:textId="77777777" w:rsidR="00CA1571" w:rsidRDefault="00CA1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9DE169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78DB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672CB4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E2454"/>
    <w:multiLevelType w:val="hybridMultilevel"/>
    <w:tmpl w:val="874E1F6E"/>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A824B8"/>
    <w:multiLevelType w:val="hybridMultilevel"/>
    <w:tmpl w:val="9DE28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7"/>
  </w:num>
  <w:num w:numId="17">
    <w:abstractNumId w:val="5"/>
  </w:num>
  <w:num w:numId="18">
    <w:abstractNumId w:val="9"/>
  </w:num>
  <w:num w:numId="19">
    <w:abstractNumId w:val="6"/>
  </w:num>
  <w:num w:numId="20">
    <w:abstractNumId w:val="12"/>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AD4"/>
    <w:rsid w:val="000006E1"/>
    <w:rsid w:val="00002A37"/>
    <w:rsid w:val="000039F4"/>
    <w:rsid w:val="00006446"/>
    <w:rsid w:val="00006896"/>
    <w:rsid w:val="00007CDC"/>
    <w:rsid w:val="00011B28"/>
    <w:rsid w:val="00015D15"/>
    <w:rsid w:val="0002564D"/>
    <w:rsid w:val="00025ECA"/>
    <w:rsid w:val="0003036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084"/>
    <w:rsid w:val="00151E23"/>
    <w:rsid w:val="001526E0"/>
    <w:rsid w:val="001551B5"/>
    <w:rsid w:val="001659C1"/>
    <w:rsid w:val="00173A8E"/>
    <w:rsid w:val="00177795"/>
    <w:rsid w:val="0018143F"/>
    <w:rsid w:val="001868E5"/>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FA6"/>
    <w:rsid w:val="001E58E2"/>
    <w:rsid w:val="001E5CCF"/>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BC5"/>
    <w:rsid w:val="00223FCB"/>
    <w:rsid w:val="002252C3"/>
    <w:rsid w:val="00225C54"/>
    <w:rsid w:val="00230765"/>
    <w:rsid w:val="002319E4"/>
    <w:rsid w:val="00235632"/>
    <w:rsid w:val="00235872"/>
    <w:rsid w:val="00241559"/>
    <w:rsid w:val="002435B3"/>
    <w:rsid w:val="002458EB"/>
    <w:rsid w:val="002500C8"/>
    <w:rsid w:val="00251D25"/>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F86"/>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5CF"/>
    <w:rsid w:val="002F62D9"/>
    <w:rsid w:val="002F6A6D"/>
    <w:rsid w:val="00301CE6"/>
    <w:rsid w:val="0030256B"/>
    <w:rsid w:val="003040AF"/>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280"/>
    <w:rsid w:val="0035491B"/>
    <w:rsid w:val="0035553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6B5"/>
    <w:rsid w:val="00492BC5"/>
    <w:rsid w:val="004964F1"/>
    <w:rsid w:val="004A16BC"/>
    <w:rsid w:val="004A2B94"/>
    <w:rsid w:val="004B1BE5"/>
    <w:rsid w:val="004B7C0C"/>
    <w:rsid w:val="004C2DB9"/>
    <w:rsid w:val="004C3402"/>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BC3"/>
    <w:rsid w:val="00534B59"/>
    <w:rsid w:val="00536759"/>
    <w:rsid w:val="00537C62"/>
    <w:rsid w:val="00546970"/>
    <w:rsid w:val="00550AD4"/>
    <w:rsid w:val="00554E19"/>
    <w:rsid w:val="0056121F"/>
    <w:rsid w:val="00566806"/>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440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00F"/>
    <w:rsid w:val="00670922"/>
    <w:rsid w:val="00670BE1"/>
    <w:rsid w:val="0067218F"/>
    <w:rsid w:val="006741F2"/>
    <w:rsid w:val="00674CC3"/>
    <w:rsid w:val="00675C72"/>
    <w:rsid w:val="006771F9"/>
    <w:rsid w:val="006776D7"/>
    <w:rsid w:val="00681003"/>
    <w:rsid w:val="006817C9"/>
    <w:rsid w:val="00683ECE"/>
    <w:rsid w:val="00684805"/>
    <w:rsid w:val="00695FC2"/>
    <w:rsid w:val="00696949"/>
    <w:rsid w:val="00697052"/>
    <w:rsid w:val="006A2A6D"/>
    <w:rsid w:val="006A46FB"/>
    <w:rsid w:val="006A5E28"/>
    <w:rsid w:val="006A697B"/>
    <w:rsid w:val="006A7AFF"/>
    <w:rsid w:val="006B060B"/>
    <w:rsid w:val="006B1816"/>
    <w:rsid w:val="006B2099"/>
    <w:rsid w:val="006B31CC"/>
    <w:rsid w:val="006B50CF"/>
    <w:rsid w:val="006B7ACC"/>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E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80D"/>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2CA4"/>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385"/>
    <w:rsid w:val="008B51A0"/>
    <w:rsid w:val="008B592A"/>
    <w:rsid w:val="008B7B5C"/>
    <w:rsid w:val="008B7BF0"/>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76A"/>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A72"/>
    <w:rsid w:val="009572D4"/>
    <w:rsid w:val="00961921"/>
    <w:rsid w:val="0096430A"/>
    <w:rsid w:val="0096554B"/>
    <w:rsid w:val="0096584A"/>
    <w:rsid w:val="00970862"/>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24D"/>
    <w:rsid w:val="009D4FF0"/>
    <w:rsid w:val="009D703C"/>
    <w:rsid w:val="009D718F"/>
    <w:rsid w:val="009E068F"/>
    <w:rsid w:val="009E14E0"/>
    <w:rsid w:val="009E35DB"/>
    <w:rsid w:val="009E47A3"/>
    <w:rsid w:val="009F08F3"/>
    <w:rsid w:val="009F0A0E"/>
    <w:rsid w:val="009F344F"/>
    <w:rsid w:val="00A048A8"/>
    <w:rsid w:val="00A04F49"/>
    <w:rsid w:val="00A069EA"/>
    <w:rsid w:val="00A13E54"/>
    <w:rsid w:val="00A17F63"/>
    <w:rsid w:val="00A2052C"/>
    <w:rsid w:val="00A2193B"/>
    <w:rsid w:val="00A2351A"/>
    <w:rsid w:val="00A264A9"/>
    <w:rsid w:val="00A27785"/>
    <w:rsid w:val="00A30187"/>
    <w:rsid w:val="00A3448A"/>
    <w:rsid w:val="00A36297"/>
    <w:rsid w:val="00A41E2B"/>
    <w:rsid w:val="00A45B74"/>
    <w:rsid w:val="00A52E1D"/>
    <w:rsid w:val="00A56A7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EA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256"/>
    <w:rsid w:val="00B157F9"/>
    <w:rsid w:val="00B20256"/>
    <w:rsid w:val="00B20D09"/>
    <w:rsid w:val="00B2763F"/>
    <w:rsid w:val="00B27AAC"/>
    <w:rsid w:val="00B30929"/>
    <w:rsid w:val="00B35361"/>
    <w:rsid w:val="00B372AA"/>
    <w:rsid w:val="00B40445"/>
    <w:rsid w:val="00B41888"/>
    <w:rsid w:val="00B45A52"/>
    <w:rsid w:val="00B46175"/>
    <w:rsid w:val="00B51380"/>
    <w:rsid w:val="00B6188F"/>
    <w:rsid w:val="00B664C7"/>
    <w:rsid w:val="00B739F6"/>
    <w:rsid w:val="00B81A6C"/>
    <w:rsid w:val="00B83705"/>
    <w:rsid w:val="00B84C33"/>
    <w:rsid w:val="00B85DE5"/>
    <w:rsid w:val="00B90F73"/>
    <w:rsid w:val="00B93B59"/>
    <w:rsid w:val="00B9406A"/>
    <w:rsid w:val="00BA2280"/>
    <w:rsid w:val="00BA2A08"/>
    <w:rsid w:val="00BA56D2"/>
    <w:rsid w:val="00BA76E0"/>
    <w:rsid w:val="00BB0A1D"/>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0BE"/>
    <w:rsid w:val="00C9027A"/>
    <w:rsid w:val="00C9068E"/>
    <w:rsid w:val="00C93C4B"/>
    <w:rsid w:val="00C944AB"/>
    <w:rsid w:val="00C95B40"/>
    <w:rsid w:val="00CA1571"/>
    <w:rsid w:val="00CA1ED8"/>
    <w:rsid w:val="00CB13AA"/>
    <w:rsid w:val="00CB1F63"/>
    <w:rsid w:val="00CB7170"/>
    <w:rsid w:val="00CC040E"/>
    <w:rsid w:val="00CC0AB9"/>
    <w:rsid w:val="00CC111F"/>
    <w:rsid w:val="00CC2011"/>
    <w:rsid w:val="00CC3EA0"/>
    <w:rsid w:val="00CC7B45"/>
    <w:rsid w:val="00CD1188"/>
    <w:rsid w:val="00CD2ED1"/>
    <w:rsid w:val="00CD337B"/>
    <w:rsid w:val="00CD7630"/>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4CE"/>
    <w:rsid w:val="00D643C6"/>
    <w:rsid w:val="00D652B5"/>
    <w:rsid w:val="00D66155"/>
    <w:rsid w:val="00D708B0"/>
    <w:rsid w:val="00D77B1D"/>
    <w:rsid w:val="00D8021F"/>
    <w:rsid w:val="00D80383"/>
    <w:rsid w:val="00D8202F"/>
    <w:rsid w:val="00D823C6"/>
    <w:rsid w:val="00D86CA3"/>
    <w:rsid w:val="00D871CE"/>
    <w:rsid w:val="00D9196D"/>
    <w:rsid w:val="00D92982"/>
    <w:rsid w:val="00D975A2"/>
    <w:rsid w:val="00DA305E"/>
    <w:rsid w:val="00DA5417"/>
    <w:rsid w:val="00DA56E8"/>
    <w:rsid w:val="00DB0A9F"/>
    <w:rsid w:val="00DB377D"/>
    <w:rsid w:val="00DC2D36"/>
    <w:rsid w:val="00DC53EF"/>
    <w:rsid w:val="00DE5608"/>
    <w:rsid w:val="00DE58D0"/>
    <w:rsid w:val="00DE654F"/>
    <w:rsid w:val="00DF0B6E"/>
    <w:rsid w:val="00DF15E0"/>
    <w:rsid w:val="00DF37A0"/>
    <w:rsid w:val="00E071D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392"/>
    <w:rsid w:val="00E83AA9"/>
    <w:rsid w:val="00E85928"/>
    <w:rsid w:val="00E87822"/>
    <w:rsid w:val="00E90395"/>
    <w:rsid w:val="00E90E49"/>
    <w:rsid w:val="00E917F9"/>
    <w:rsid w:val="00E9291C"/>
    <w:rsid w:val="00E93FFE"/>
    <w:rsid w:val="00E94F8A"/>
    <w:rsid w:val="00EA7A41"/>
    <w:rsid w:val="00EB077B"/>
    <w:rsid w:val="00EB4EA2"/>
    <w:rsid w:val="00EC1207"/>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52B"/>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DFF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4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C44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C44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C4404"/>
    <w:pPr>
      <w:numPr>
        <w:ilvl w:val="2"/>
      </w:numPr>
      <w:spacing w:before="120"/>
      <w:outlineLvl w:val="2"/>
    </w:pPr>
    <w:rPr>
      <w:sz w:val="28"/>
      <w:szCs w:val="28"/>
    </w:rPr>
  </w:style>
  <w:style w:type="paragraph" w:styleId="Heading4">
    <w:name w:val="heading 4"/>
    <w:basedOn w:val="Heading3"/>
    <w:next w:val="Normal"/>
    <w:qFormat/>
    <w:rsid w:val="005C4404"/>
    <w:pPr>
      <w:numPr>
        <w:ilvl w:val="3"/>
      </w:numPr>
      <w:outlineLvl w:val="3"/>
    </w:pPr>
    <w:rPr>
      <w:sz w:val="24"/>
      <w:szCs w:val="24"/>
    </w:rPr>
  </w:style>
  <w:style w:type="paragraph" w:styleId="Heading5">
    <w:name w:val="heading 5"/>
    <w:basedOn w:val="Heading4"/>
    <w:next w:val="Normal"/>
    <w:qFormat/>
    <w:rsid w:val="005C4404"/>
    <w:pPr>
      <w:numPr>
        <w:ilvl w:val="4"/>
      </w:numPr>
      <w:outlineLvl w:val="4"/>
    </w:pPr>
    <w:rPr>
      <w:sz w:val="22"/>
      <w:szCs w:val="22"/>
    </w:rPr>
  </w:style>
  <w:style w:type="paragraph" w:styleId="Heading6">
    <w:name w:val="heading 6"/>
    <w:basedOn w:val="Normal"/>
    <w:next w:val="Normal"/>
    <w:qFormat/>
    <w:rsid w:val="005C4404"/>
    <w:pPr>
      <w:keepNext/>
      <w:keepLines/>
      <w:numPr>
        <w:ilvl w:val="5"/>
        <w:numId w:val="1"/>
      </w:numPr>
      <w:spacing w:before="120"/>
      <w:outlineLvl w:val="5"/>
    </w:pPr>
    <w:rPr>
      <w:rFonts w:cs="Arial"/>
    </w:rPr>
  </w:style>
  <w:style w:type="paragraph" w:styleId="Heading7">
    <w:name w:val="heading 7"/>
    <w:basedOn w:val="Normal"/>
    <w:next w:val="Normal"/>
    <w:qFormat/>
    <w:rsid w:val="005C4404"/>
    <w:pPr>
      <w:keepNext/>
      <w:keepLines/>
      <w:numPr>
        <w:ilvl w:val="6"/>
        <w:numId w:val="1"/>
      </w:numPr>
      <w:spacing w:before="120"/>
      <w:outlineLvl w:val="6"/>
    </w:pPr>
    <w:rPr>
      <w:rFonts w:cs="Arial"/>
    </w:rPr>
  </w:style>
  <w:style w:type="paragraph" w:styleId="Heading8">
    <w:name w:val="heading 8"/>
    <w:basedOn w:val="Heading7"/>
    <w:next w:val="Normal"/>
    <w:qFormat/>
    <w:rsid w:val="005C4404"/>
    <w:pPr>
      <w:numPr>
        <w:ilvl w:val="7"/>
      </w:numPr>
      <w:outlineLvl w:val="7"/>
    </w:pPr>
  </w:style>
  <w:style w:type="paragraph" w:styleId="Heading9">
    <w:name w:val="heading 9"/>
    <w:basedOn w:val="Heading8"/>
    <w:next w:val="Normal"/>
    <w:qFormat/>
    <w:rsid w:val="005C4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4404"/>
    <w:pPr>
      <w:spacing w:before="180"/>
      <w:ind w:left="2693" w:hanging="2693"/>
    </w:pPr>
    <w:rPr>
      <w:b w:val="0"/>
      <w:bCs/>
    </w:rPr>
  </w:style>
  <w:style w:type="paragraph" w:styleId="TOC1">
    <w:name w:val="toc 1"/>
    <w:aliases w:val="Observation TOC2"/>
    <w:uiPriority w:val="39"/>
    <w:rsid w:val="005C44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C4404"/>
    <w:pPr>
      <w:keepNext/>
      <w:keepLines/>
      <w:spacing w:before="180"/>
      <w:jc w:val="center"/>
    </w:pPr>
  </w:style>
  <w:style w:type="paragraph" w:styleId="Caption">
    <w:name w:val="caption"/>
    <w:basedOn w:val="Normal"/>
    <w:next w:val="Normal"/>
    <w:qFormat/>
    <w:rsid w:val="005C4404"/>
    <w:pPr>
      <w:spacing w:after="240"/>
      <w:jc w:val="center"/>
    </w:pPr>
    <w:rPr>
      <w:b/>
      <w:bCs/>
    </w:rPr>
  </w:style>
  <w:style w:type="paragraph" w:styleId="TOC5">
    <w:name w:val="toc 5"/>
    <w:aliases w:val="Observation TOC"/>
    <w:basedOn w:val="TOC4"/>
    <w:semiHidden/>
    <w:rsid w:val="005C4404"/>
    <w:pPr>
      <w:tabs>
        <w:tab w:val="right" w:pos="1701"/>
      </w:tabs>
      <w:ind w:left="1701" w:hanging="1701"/>
    </w:pPr>
  </w:style>
  <w:style w:type="paragraph" w:styleId="TOC4">
    <w:name w:val="toc 4"/>
    <w:basedOn w:val="TOC3"/>
    <w:semiHidden/>
    <w:rsid w:val="005C4404"/>
    <w:pPr>
      <w:ind w:left="1418" w:hanging="1418"/>
    </w:pPr>
  </w:style>
  <w:style w:type="paragraph" w:styleId="TOC3">
    <w:name w:val="toc 3"/>
    <w:basedOn w:val="TOC2"/>
    <w:semiHidden/>
    <w:rsid w:val="005C4404"/>
    <w:pPr>
      <w:ind w:left="1134" w:hanging="1134"/>
    </w:pPr>
  </w:style>
  <w:style w:type="paragraph" w:styleId="TOC2">
    <w:name w:val="toc 2"/>
    <w:basedOn w:val="TOC1"/>
    <w:semiHidden/>
    <w:rsid w:val="005C4404"/>
    <w:pPr>
      <w:keepNext w:val="0"/>
      <w:spacing w:before="0"/>
      <w:ind w:left="851" w:hanging="851"/>
    </w:pPr>
    <w:rPr>
      <w:szCs w:val="20"/>
    </w:rPr>
  </w:style>
  <w:style w:type="paragraph" w:styleId="Index2">
    <w:name w:val="index 2"/>
    <w:basedOn w:val="Index1"/>
    <w:semiHidden/>
    <w:rsid w:val="005C4404"/>
    <w:pPr>
      <w:ind w:left="284"/>
    </w:pPr>
  </w:style>
  <w:style w:type="paragraph" w:styleId="Index1">
    <w:name w:val="index 1"/>
    <w:basedOn w:val="Normal"/>
    <w:semiHidden/>
    <w:rsid w:val="005C4404"/>
    <w:pPr>
      <w:keepLines/>
      <w:spacing w:after="0"/>
    </w:pPr>
  </w:style>
  <w:style w:type="paragraph" w:styleId="DocumentMap">
    <w:name w:val="Document Map"/>
    <w:basedOn w:val="Normal"/>
    <w:semiHidden/>
    <w:rsid w:val="005C4404"/>
    <w:pPr>
      <w:shd w:val="clear" w:color="auto" w:fill="000080"/>
    </w:pPr>
    <w:rPr>
      <w:rFonts w:ascii="Tahoma" w:hAnsi="Tahoma" w:cs="Tahoma"/>
    </w:rPr>
  </w:style>
  <w:style w:type="paragraph" w:styleId="ListNumber2">
    <w:name w:val="List Number 2"/>
    <w:basedOn w:val="ListNumber"/>
    <w:rsid w:val="005C4404"/>
    <w:pPr>
      <w:ind w:left="851"/>
    </w:pPr>
  </w:style>
  <w:style w:type="paragraph" w:styleId="ListNumber">
    <w:name w:val="List Number"/>
    <w:basedOn w:val="List"/>
    <w:rsid w:val="005C4404"/>
  </w:style>
  <w:style w:type="paragraph" w:styleId="List">
    <w:name w:val="List"/>
    <w:basedOn w:val="Normal"/>
    <w:rsid w:val="005C4404"/>
    <w:pPr>
      <w:ind w:left="568" w:hanging="284"/>
    </w:pPr>
  </w:style>
  <w:style w:type="paragraph" w:styleId="Header">
    <w:name w:val="header"/>
    <w:rsid w:val="005C440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C4404"/>
    <w:rPr>
      <w:b/>
      <w:bCs/>
      <w:position w:val="6"/>
      <w:sz w:val="16"/>
      <w:szCs w:val="16"/>
    </w:rPr>
  </w:style>
  <w:style w:type="paragraph" w:styleId="FootnoteText">
    <w:name w:val="footnote text"/>
    <w:basedOn w:val="Normal"/>
    <w:semiHidden/>
    <w:rsid w:val="005C4404"/>
    <w:pPr>
      <w:keepLines/>
      <w:spacing w:after="0"/>
      <w:ind w:left="454" w:hanging="454"/>
    </w:pPr>
    <w:rPr>
      <w:sz w:val="16"/>
      <w:szCs w:val="16"/>
    </w:rPr>
  </w:style>
  <w:style w:type="paragraph" w:customStyle="1" w:styleId="3GPPHeader">
    <w:name w:val="3GPP_Header"/>
    <w:basedOn w:val="Normal"/>
    <w:rsid w:val="005C4404"/>
    <w:pPr>
      <w:tabs>
        <w:tab w:val="left" w:pos="1701"/>
        <w:tab w:val="right" w:pos="9639"/>
      </w:tabs>
      <w:spacing w:after="240"/>
    </w:pPr>
    <w:rPr>
      <w:b/>
      <w:sz w:val="24"/>
    </w:rPr>
  </w:style>
  <w:style w:type="paragraph" w:styleId="TOC9">
    <w:name w:val="toc 9"/>
    <w:basedOn w:val="TOC8"/>
    <w:semiHidden/>
    <w:rsid w:val="005C4404"/>
    <w:pPr>
      <w:ind w:left="1418" w:hanging="1418"/>
    </w:pPr>
  </w:style>
  <w:style w:type="paragraph" w:styleId="TOC6">
    <w:name w:val="toc 6"/>
    <w:basedOn w:val="TOC5"/>
    <w:next w:val="Normal"/>
    <w:semiHidden/>
    <w:rsid w:val="005C4404"/>
    <w:pPr>
      <w:ind w:left="1985" w:hanging="1985"/>
    </w:pPr>
  </w:style>
  <w:style w:type="paragraph" w:styleId="TOC7">
    <w:name w:val="toc 7"/>
    <w:basedOn w:val="TOC6"/>
    <w:next w:val="Normal"/>
    <w:semiHidden/>
    <w:rsid w:val="005C4404"/>
    <w:pPr>
      <w:ind w:left="2268" w:hanging="2268"/>
    </w:pPr>
  </w:style>
  <w:style w:type="paragraph" w:styleId="ListBullet2">
    <w:name w:val="List Bullet 2"/>
    <w:basedOn w:val="ListBullet"/>
    <w:rsid w:val="005C4404"/>
    <w:pPr>
      <w:numPr>
        <w:numId w:val="6"/>
      </w:numPr>
    </w:pPr>
  </w:style>
  <w:style w:type="paragraph" w:styleId="ListBullet">
    <w:name w:val="List Bullet"/>
    <w:basedOn w:val="BodyText"/>
    <w:rsid w:val="005C4404"/>
    <w:pPr>
      <w:numPr>
        <w:numId w:val="5"/>
      </w:numPr>
    </w:pPr>
  </w:style>
  <w:style w:type="paragraph" w:styleId="ListBullet3">
    <w:name w:val="List Bullet 3"/>
    <w:basedOn w:val="ListBullet2"/>
    <w:rsid w:val="005C4404"/>
    <w:pPr>
      <w:numPr>
        <w:numId w:val="7"/>
      </w:numPr>
    </w:pPr>
  </w:style>
  <w:style w:type="paragraph" w:customStyle="1" w:styleId="EQ">
    <w:name w:val="EQ"/>
    <w:basedOn w:val="Normal"/>
    <w:next w:val="Normal"/>
    <w:rsid w:val="005C4404"/>
    <w:pPr>
      <w:keepLines/>
      <w:tabs>
        <w:tab w:val="center" w:pos="4536"/>
        <w:tab w:val="right" w:pos="9072"/>
      </w:tabs>
      <w:spacing w:after="180"/>
      <w:jc w:val="left"/>
    </w:pPr>
    <w:rPr>
      <w:noProof/>
      <w:lang w:eastAsia="en-US"/>
    </w:rPr>
  </w:style>
  <w:style w:type="paragraph" w:styleId="List2">
    <w:name w:val="List 2"/>
    <w:basedOn w:val="List"/>
    <w:rsid w:val="005C4404"/>
    <w:pPr>
      <w:ind w:left="851"/>
    </w:pPr>
  </w:style>
  <w:style w:type="paragraph" w:styleId="List3">
    <w:name w:val="List 3"/>
    <w:basedOn w:val="List2"/>
    <w:rsid w:val="005C4404"/>
    <w:pPr>
      <w:ind w:left="1135"/>
    </w:pPr>
  </w:style>
  <w:style w:type="paragraph" w:styleId="List4">
    <w:name w:val="List 4"/>
    <w:basedOn w:val="List3"/>
    <w:rsid w:val="005C4404"/>
    <w:pPr>
      <w:ind w:left="1418"/>
    </w:pPr>
  </w:style>
  <w:style w:type="paragraph" w:styleId="List5">
    <w:name w:val="List 5"/>
    <w:basedOn w:val="List4"/>
    <w:rsid w:val="005C4404"/>
    <w:pPr>
      <w:ind w:left="1702"/>
    </w:pPr>
  </w:style>
  <w:style w:type="paragraph" w:customStyle="1" w:styleId="EditorsNote">
    <w:name w:val="Editor's Note"/>
    <w:basedOn w:val="Normal"/>
    <w:rsid w:val="005C4404"/>
    <w:pPr>
      <w:keepLines/>
      <w:spacing w:after="180"/>
      <w:ind w:left="1135" w:hanging="851"/>
      <w:jc w:val="left"/>
    </w:pPr>
    <w:rPr>
      <w:color w:val="FF0000"/>
      <w:lang w:eastAsia="en-US"/>
    </w:rPr>
  </w:style>
  <w:style w:type="paragraph" w:styleId="ListBullet4">
    <w:name w:val="List Bullet 4"/>
    <w:basedOn w:val="ListBullet3"/>
    <w:rsid w:val="005C4404"/>
    <w:pPr>
      <w:numPr>
        <w:numId w:val="8"/>
      </w:numPr>
    </w:pPr>
  </w:style>
  <w:style w:type="paragraph" w:styleId="ListBullet5">
    <w:name w:val="List Bullet 5"/>
    <w:basedOn w:val="ListBullet4"/>
    <w:rsid w:val="005C4404"/>
    <w:pPr>
      <w:numPr>
        <w:numId w:val="4"/>
      </w:numPr>
    </w:pPr>
  </w:style>
  <w:style w:type="paragraph" w:styleId="Footer">
    <w:name w:val="footer"/>
    <w:basedOn w:val="Header"/>
    <w:semiHidden/>
    <w:rsid w:val="005C4404"/>
    <w:pPr>
      <w:jc w:val="center"/>
    </w:pPr>
    <w:rPr>
      <w:i/>
      <w:iCs/>
    </w:rPr>
  </w:style>
  <w:style w:type="paragraph" w:customStyle="1" w:styleId="Reference">
    <w:name w:val="Reference"/>
    <w:basedOn w:val="Normal"/>
    <w:link w:val="ReferenceChar"/>
    <w:rsid w:val="005C4404"/>
    <w:pPr>
      <w:numPr>
        <w:numId w:val="2"/>
      </w:numPr>
    </w:pPr>
  </w:style>
  <w:style w:type="paragraph" w:styleId="BalloonText">
    <w:name w:val="Balloon Text"/>
    <w:basedOn w:val="Normal"/>
    <w:semiHidden/>
    <w:rsid w:val="005C4404"/>
    <w:rPr>
      <w:rFonts w:ascii="Tahoma" w:hAnsi="Tahoma" w:cs="Tahoma"/>
      <w:sz w:val="16"/>
      <w:szCs w:val="16"/>
    </w:rPr>
  </w:style>
  <w:style w:type="character" w:styleId="PageNumber">
    <w:name w:val="page number"/>
    <w:basedOn w:val="DefaultParagraphFont"/>
    <w:semiHidden/>
    <w:rsid w:val="005C4404"/>
  </w:style>
  <w:style w:type="paragraph" w:styleId="BodyText">
    <w:name w:val="Body Text"/>
    <w:basedOn w:val="Normal"/>
    <w:link w:val="BodyTextChar"/>
    <w:rsid w:val="005C4404"/>
  </w:style>
  <w:style w:type="character" w:styleId="Hyperlink">
    <w:name w:val="Hyperlink"/>
    <w:uiPriority w:val="99"/>
    <w:rsid w:val="005C4404"/>
    <w:rPr>
      <w:color w:val="0000FF"/>
      <w:u w:val="single"/>
      <w:lang w:val="en-GB"/>
    </w:rPr>
  </w:style>
  <w:style w:type="character" w:styleId="FollowedHyperlink">
    <w:name w:val="FollowedHyperlink"/>
    <w:semiHidden/>
    <w:rsid w:val="005C4404"/>
    <w:rPr>
      <w:color w:val="FF0000"/>
      <w:u w:val="single"/>
    </w:rPr>
  </w:style>
  <w:style w:type="character" w:styleId="CommentReference">
    <w:name w:val="annotation reference"/>
    <w:semiHidden/>
    <w:rsid w:val="005C4404"/>
    <w:rPr>
      <w:sz w:val="16"/>
      <w:szCs w:val="16"/>
    </w:rPr>
  </w:style>
  <w:style w:type="paragraph" w:styleId="CommentText">
    <w:name w:val="annotation text"/>
    <w:basedOn w:val="Normal"/>
    <w:semiHidden/>
    <w:rsid w:val="005C4404"/>
  </w:style>
  <w:style w:type="paragraph" w:styleId="CommentSubject">
    <w:name w:val="annotation subject"/>
    <w:basedOn w:val="CommentText"/>
    <w:next w:val="CommentText"/>
    <w:semiHidden/>
    <w:rsid w:val="005C4404"/>
    <w:rPr>
      <w:b/>
      <w:bCs/>
    </w:rPr>
  </w:style>
  <w:style w:type="character" w:customStyle="1" w:styleId="Heading1Char">
    <w:name w:val="Heading 1 Char"/>
    <w:link w:val="Heading1"/>
    <w:rsid w:val="005C4404"/>
    <w:rPr>
      <w:rFonts w:ascii="Arial" w:hAnsi="Arial" w:cs="Arial"/>
      <w:sz w:val="36"/>
      <w:szCs w:val="36"/>
      <w:lang w:val="en-GB" w:eastAsia="zh-CN"/>
    </w:rPr>
  </w:style>
  <w:style w:type="paragraph" w:customStyle="1" w:styleId="B1">
    <w:name w:val="B1"/>
    <w:basedOn w:val="List"/>
    <w:rsid w:val="005C4404"/>
    <w:pPr>
      <w:spacing w:after="180"/>
      <w:jc w:val="left"/>
    </w:pPr>
    <w:rPr>
      <w:lang w:eastAsia="en-US"/>
    </w:rPr>
  </w:style>
  <w:style w:type="paragraph" w:customStyle="1" w:styleId="B2">
    <w:name w:val="B2"/>
    <w:basedOn w:val="List2"/>
    <w:rsid w:val="005C4404"/>
    <w:pPr>
      <w:spacing w:after="180"/>
      <w:jc w:val="left"/>
    </w:pPr>
    <w:rPr>
      <w:lang w:eastAsia="en-US"/>
    </w:rPr>
  </w:style>
  <w:style w:type="paragraph" w:customStyle="1" w:styleId="B3">
    <w:name w:val="B3"/>
    <w:basedOn w:val="List3"/>
    <w:rsid w:val="005C4404"/>
    <w:pPr>
      <w:spacing w:after="180"/>
      <w:jc w:val="left"/>
    </w:pPr>
    <w:rPr>
      <w:lang w:eastAsia="en-US"/>
    </w:rPr>
  </w:style>
  <w:style w:type="paragraph" w:customStyle="1" w:styleId="B4">
    <w:name w:val="B4"/>
    <w:basedOn w:val="List4"/>
    <w:rsid w:val="005C4404"/>
    <w:pPr>
      <w:spacing w:after="180"/>
      <w:jc w:val="left"/>
    </w:pPr>
    <w:rPr>
      <w:lang w:eastAsia="en-US"/>
    </w:rPr>
  </w:style>
  <w:style w:type="paragraph" w:customStyle="1" w:styleId="Proposal">
    <w:name w:val="Proposal"/>
    <w:basedOn w:val="Normal"/>
    <w:rsid w:val="005C4404"/>
    <w:pPr>
      <w:numPr>
        <w:numId w:val="3"/>
      </w:numPr>
      <w:tabs>
        <w:tab w:val="clear" w:pos="1304"/>
        <w:tab w:val="left" w:pos="1701"/>
      </w:tabs>
      <w:ind w:left="1701" w:hanging="1701"/>
    </w:pPr>
    <w:rPr>
      <w:b/>
      <w:bCs/>
    </w:rPr>
  </w:style>
  <w:style w:type="character" w:customStyle="1" w:styleId="BodyTextChar">
    <w:name w:val="Body Text Char"/>
    <w:link w:val="BodyText"/>
    <w:rsid w:val="005C4404"/>
    <w:rPr>
      <w:rFonts w:ascii="Arial" w:hAnsi="Arial"/>
      <w:lang w:val="en-GB" w:eastAsia="zh-CN"/>
    </w:rPr>
  </w:style>
  <w:style w:type="paragraph" w:customStyle="1" w:styleId="B5">
    <w:name w:val="B5"/>
    <w:basedOn w:val="List5"/>
    <w:rsid w:val="005C4404"/>
    <w:pPr>
      <w:spacing w:after="180"/>
      <w:jc w:val="left"/>
    </w:pPr>
    <w:rPr>
      <w:lang w:eastAsia="en-US"/>
    </w:rPr>
  </w:style>
  <w:style w:type="paragraph" w:customStyle="1" w:styleId="EX">
    <w:name w:val="EX"/>
    <w:basedOn w:val="Normal"/>
    <w:rsid w:val="005C4404"/>
    <w:pPr>
      <w:keepLines/>
      <w:spacing w:after="180"/>
      <w:ind w:left="1702" w:hanging="1418"/>
      <w:jc w:val="left"/>
    </w:pPr>
    <w:rPr>
      <w:lang w:eastAsia="en-US"/>
    </w:rPr>
  </w:style>
  <w:style w:type="paragraph" w:customStyle="1" w:styleId="EW">
    <w:name w:val="EW"/>
    <w:basedOn w:val="EX"/>
    <w:rsid w:val="005C4404"/>
    <w:pPr>
      <w:spacing w:after="0"/>
    </w:pPr>
  </w:style>
  <w:style w:type="paragraph" w:customStyle="1" w:styleId="TAL">
    <w:name w:val="TAL"/>
    <w:basedOn w:val="Normal"/>
    <w:rsid w:val="005C4404"/>
    <w:pPr>
      <w:keepNext/>
      <w:keepLines/>
      <w:spacing w:after="0"/>
      <w:jc w:val="left"/>
    </w:pPr>
    <w:rPr>
      <w:sz w:val="18"/>
      <w:lang w:eastAsia="en-US"/>
    </w:rPr>
  </w:style>
  <w:style w:type="paragraph" w:customStyle="1" w:styleId="TAC">
    <w:name w:val="TAC"/>
    <w:basedOn w:val="TAL"/>
    <w:rsid w:val="005C4404"/>
    <w:pPr>
      <w:jc w:val="center"/>
    </w:pPr>
  </w:style>
  <w:style w:type="paragraph" w:customStyle="1" w:styleId="TAH">
    <w:name w:val="TAH"/>
    <w:basedOn w:val="TAC"/>
    <w:rsid w:val="005C4404"/>
    <w:rPr>
      <w:b/>
    </w:rPr>
  </w:style>
  <w:style w:type="paragraph" w:customStyle="1" w:styleId="TAN">
    <w:name w:val="TAN"/>
    <w:basedOn w:val="TAL"/>
    <w:rsid w:val="005C4404"/>
    <w:pPr>
      <w:ind w:left="851" w:hanging="851"/>
    </w:pPr>
  </w:style>
  <w:style w:type="paragraph" w:customStyle="1" w:styleId="TAR">
    <w:name w:val="TAR"/>
    <w:basedOn w:val="TAL"/>
    <w:rsid w:val="005C4404"/>
    <w:pPr>
      <w:jc w:val="right"/>
    </w:pPr>
  </w:style>
  <w:style w:type="paragraph" w:customStyle="1" w:styleId="TH">
    <w:name w:val="TH"/>
    <w:basedOn w:val="Normal"/>
    <w:rsid w:val="005C4404"/>
    <w:pPr>
      <w:keepNext/>
      <w:keepLines/>
      <w:spacing w:before="60" w:after="180"/>
      <w:jc w:val="center"/>
    </w:pPr>
    <w:rPr>
      <w:b/>
      <w:lang w:eastAsia="en-US"/>
    </w:rPr>
  </w:style>
  <w:style w:type="paragraph" w:customStyle="1" w:styleId="TF">
    <w:name w:val="TF"/>
    <w:basedOn w:val="TH"/>
    <w:rsid w:val="005C4404"/>
    <w:pPr>
      <w:keepNext w:val="0"/>
      <w:spacing w:before="0" w:after="240"/>
    </w:pPr>
  </w:style>
  <w:style w:type="paragraph" w:customStyle="1" w:styleId="TT">
    <w:name w:val="TT"/>
    <w:basedOn w:val="Heading1"/>
    <w:next w:val="Normal"/>
    <w:rsid w:val="005C4404"/>
    <w:pPr>
      <w:numPr>
        <w:numId w:val="0"/>
      </w:numPr>
      <w:ind w:left="1134" w:hanging="1134"/>
      <w:outlineLvl w:val="9"/>
    </w:pPr>
    <w:rPr>
      <w:rFonts w:cs="Times New Roman"/>
      <w:szCs w:val="20"/>
      <w:lang w:eastAsia="en-US"/>
    </w:rPr>
  </w:style>
  <w:style w:type="paragraph" w:customStyle="1" w:styleId="ZA">
    <w:name w:val="ZA"/>
    <w:rsid w:val="005C4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4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44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C44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C4404"/>
  </w:style>
  <w:style w:type="paragraph" w:customStyle="1" w:styleId="ZH">
    <w:name w:val="ZH"/>
    <w:rsid w:val="005C44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C44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C4404"/>
    <w:pPr>
      <w:framePr w:hRule="auto" w:wrap="notBeside" w:y="852"/>
    </w:pPr>
    <w:rPr>
      <w:i w:val="0"/>
      <w:sz w:val="40"/>
    </w:rPr>
  </w:style>
  <w:style w:type="paragraph" w:customStyle="1" w:styleId="ZU">
    <w:name w:val="ZU"/>
    <w:rsid w:val="005C4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4404"/>
    <w:pPr>
      <w:framePr w:wrap="notBeside" w:y="16161"/>
    </w:pPr>
  </w:style>
  <w:style w:type="paragraph" w:customStyle="1" w:styleId="FP">
    <w:name w:val="FP"/>
    <w:basedOn w:val="Normal"/>
    <w:rsid w:val="005C4404"/>
    <w:pPr>
      <w:spacing w:after="0"/>
      <w:jc w:val="left"/>
    </w:pPr>
    <w:rPr>
      <w:lang w:eastAsia="en-US"/>
    </w:rPr>
  </w:style>
  <w:style w:type="paragraph" w:customStyle="1" w:styleId="Observation">
    <w:name w:val="Observation"/>
    <w:basedOn w:val="Proposal"/>
    <w:qFormat/>
    <w:rsid w:val="005C4404"/>
    <w:pPr>
      <w:numPr>
        <w:numId w:val="13"/>
      </w:numPr>
      <w:ind w:left="1701" w:hanging="1701"/>
    </w:pPr>
  </w:style>
  <w:style w:type="paragraph" w:styleId="TableofFigures">
    <w:name w:val="table of figures"/>
    <w:basedOn w:val="Normal"/>
    <w:next w:val="Normal"/>
    <w:uiPriority w:val="99"/>
    <w:rsid w:val="005C4404"/>
    <w:pPr>
      <w:ind w:left="1418" w:hanging="1418"/>
      <w:jc w:val="left"/>
    </w:pPr>
    <w:rPr>
      <w:b/>
    </w:rPr>
  </w:style>
  <w:style w:type="paragraph" w:customStyle="1" w:styleId="Doc-text2">
    <w:name w:val="Doc-text2"/>
    <w:basedOn w:val="Normal"/>
    <w:link w:val="Doc-text2Char"/>
    <w:qFormat/>
    <w:rsid w:val="005C440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C4404"/>
    <w:rPr>
      <w:rFonts w:ascii="Arial" w:eastAsia="MS Mincho" w:hAnsi="Arial"/>
      <w:szCs w:val="24"/>
      <w:lang w:val="en-GB" w:eastAsia="en-GB"/>
    </w:rPr>
  </w:style>
  <w:style w:type="table" w:styleId="TableGrid">
    <w:name w:val="Table Grid"/>
    <w:basedOn w:val="TableNormal"/>
    <w:rsid w:val="00684805"/>
    <w:rPr>
      <w:rFonts w:ascii="Arial" w:eastAsiaTheme="minorEastAsia" w:hAnsi="Arial" w:cs="Arial"/>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Char"/>
    <w:uiPriority w:val="34"/>
    <w:qFormat/>
    <w:rsid w:val="00684805"/>
    <w:pPr>
      <w:overflowPunct/>
      <w:autoSpaceDE/>
      <w:autoSpaceDN/>
      <w:adjustRightInd/>
      <w:spacing w:after="0" w:line="259" w:lineRule="auto"/>
      <w:ind w:left="720"/>
      <w:jc w:val="left"/>
      <w:textAlignment w:val="auto"/>
    </w:pPr>
    <w:rPr>
      <w:rFonts w:ascii="Calibri" w:eastAsia="Calibri" w:hAnsi="Calibri" w:cstheme="minorBidi"/>
      <w:szCs w:val="22"/>
      <w:lang w:val="sv-SE"/>
    </w:rPr>
  </w:style>
  <w:style w:type="character" w:customStyle="1" w:styleId="Char">
    <w:name w:val="목록 단락 Char"/>
    <w:link w:val="ListParagraph1"/>
    <w:uiPriority w:val="34"/>
    <w:qFormat/>
    <w:locked/>
    <w:rsid w:val="00684805"/>
    <w:rPr>
      <w:rFonts w:ascii="Calibri" w:eastAsia="Calibri" w:hAnsi="Calibri" w:cstheme="minorBidi"/>
      <w:szCs w:val="22"/>
      <w:lang w:val="sv-SE" w:eastAsia="zh-CN"/>
    </w:rPr>
  </w:style>
  <w:style w:type="character" w:customStyle="1" w:styleId="ReferenceChar">
    <w:name w:val="Reference Char"/>
    <w:link w:val="Reference"/>
    <w:locked/>
    <w:rsid w:val="00C820BE"/>
    <w:rPr>
      <w:rFonts w:ascii="Arial" w:hAnsi="Arial"/>
      <w:lang w:val="en-GB" w:eastAsia="zh-CN"/>
    </w:rPr>
  </w:style>
  <w:style w:type="paragraph" w:customStyle="1" w:styleId="PL">
    <w:name w:val="PL"/>
    <w:link w:val="PLChar"/>
    <w:rsid w:val="00B83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B83705"/>
    <w:rPr>
      <w:rFonts w:ascii="Courier New" w:hAnsi="Courier New"/>
      <w:noProof/>
      <w:sz w:val="16"/>
      <w:shd w:val="clear" w:color="auto" w:fill="E6E6E6"/>
      <w:lang w:eastAsia="zh-CN"/>
    </w:rPr>
  </w:style>
  <w:style w:type="paragraph" w:styleId="Revision">
    <w:name w:val="Revision"/>
    <w:hidden/>
    <w:uiPriority w:val="99"/>
    <w:semiHidden/>
    <w:rsid w:val="007119E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9816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278691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35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E3948-69E3-45B6-955F-6FDF3326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2213</Words>
  <Characters>11735</Characters>
  <Application>Microsoft Office Word</Application>
  <DocSecurity>0</DocSecurity>
  <Lines>97</Lines>
  <Paragraphs>27</Paragraphs>
  <ScaleCrop>false</ScaleCrop>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2017-09-28T23:20:00Z</dcterms:created>
  <dcterms:modified xsi:type="dcterms:W3CDTF">2017-09-28T23:20:00Z</dcterms:modified>
</cp:coreProperties>
</file>